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4109A822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0C0635">
        <w:rPr>
          <w:sz w:val="40"/>
          <w:szCs w:val="40"/>
        </w:rPr>
        <w:t>2UT1</w:t>
      </w:r>
      <w:r>
        <w:rPr>
          <w:sz w:val="40"/>
          <w:szCs w:val="40"/>
        </w:rPr>
        <w:t xml:space="preserve"> </w:t>
      </w:r>
      <w:r w:rsidR="00BA0AC0">
        <w:rPr>
          <w:sz w:val="40"/>
          <w:szCs w:val="40"/>
        </w:rPr>
        <w:t xml:space="preserve">– </w:t>
      </w:r>
      <w:r w:rsidR="00757A00" w:rsidRPr="00757A00">
        <w:rPr>
          <w:sz w:val="40"/>
          <w:szCs w:val="40"/>
        </w:rPr>
        <w:t>Utilities</w:t>
      </w:r>
      <w:r w:rsidR="00BA0AC0" w:rsidRPr="00757A00">
        <w:rPr>
          <w:sz w:val="40"/>
          <w:szCs w:val="40"/>
        </w:rPr>
        <w:t xml:space="preserve"> Unit</w:t>
      </w:r>
      <w:r w:rsidR="00BA0AC0">
        <w:rPr>
          <w:sz w:val="40"/>
          <w:szCs w:val="40"/>
        </w:rPr>
        <w:t xml:space="preserve"> </w:t>
      </w:r>
      <w:r w:rsidR="00FD5009">
        <w:rPr>
          <w:sz w:val="40"/>
          <w:szCs w:val="40"/>
        </w:rPr>
        <w:t xml:space="preserve">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AF0365" w14:paraId="041904BB" w14:textId="77777777" w:rsidTr="00AF0365">
        <w:tc>
          <w:tcPr>
            <w:tcW w:w="2340" w:type="dxa"/>
            <w:vAlign w:val="center"/>
            <w:hideMark/>
          </w:tcPr>
          <w:p w14:paraId="57A79B57" w14:textId="77777777" w:rsidR="00AF0365" w:rsidRDefault="00AF0365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0CFCFBC0AC6446DEA2D0AFD25266BFF6"/>
            </w:placeholder>
            <w:showingPlcHdr/>
          </w:sdtPr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3FF4C25" w14:textId="77777777" w:rsidR="00AF0365" w:rsidRDefault="00AF036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AF0365" w14:paraId="79B8EB55" w14:textId="77777777" w:rsidTr="00AF0365">
        <w:tc>
          <w:tcPr>
            <w:tcW w:w="2340" w:type="dxa"/>
            <w:vAlign w:val="center"/>
            <w:hideMark/>
          </w:tcPr>
          <w:p w14:paraId="4ED732E1" w14:textId="77777777" w:rsidR="00AF0365" w:rsidRDefault="00AF036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3F91573943154A2BAE6037A2E85BFC90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30C7BD60" w14:textId="77777777" w:rsidR="00AF0365" w:rsidRDefault="00AF0365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3FDE0FF4" w14:textId="14C10FF2" w:rsidR="004053DB" w:rsidRPr="000D19B8" w:rsidRDefault="000D19B8" w:rsidP="000D19B8">
      <w:pPr>
        <w:spacing w:before="360" w:after="0"/>
        <w:rPr>
          <w:rFonts w:asciiTheme="majorHAnsi" w:hAnsiTheme="majorHAnsi" w:cstheme="majorHAnsi"/>
          <w:sz w:val="32"/>
          <w:szCs w:val="32"/>
        </w:rPr>
      </w:pPr>
      <w:r w:rsidRPr="00B659BF">
        <w:rPr>
          <w:rFonts w:asciiTheme="majorHAnsi" w:hAnsiTheme="majorHAnsi" w:cstheme="majorHAnsi"/>
          <w:sz w:val="32"/>
          <w:szCs w:val="32"/>
        </w:rPr>
        <w:t>2UT1 Easement Request and Utility Parcel List</w:t>
      </w:r>
    </w:p>
    <w:tbl>
      <w:tblPr>
        <w:tblStyle w:val="TableGrid"/>
        <w:tblW w:w="9342" w:type="dxa"/>
        <w:jc w:val="center"/>
        <w:tblLook w:val="04A0" w:firstRow="1" w:lastRow="0" w:firstColumn="1" w:lastColumn="0" w:noHBand="0" w:noVBand="1"/>
      </w:tblPr>
      <w:tblGrid>
        <w:gridCol w:w="994"/>
        <w:gridCol w:w="6805"/>
        <w:gridCol w:w="532"/>
        <w:gridCol w:w="456"/>
        <w:gridCol w:w="555"/>
      </w:tblGrid>
      <w:tr w:rsidR="004053DB" w14:paraId="4B07241D" w14:textId="77777777" w:rsidTr="004053DB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15DF6E9A" w14:textId="77777777" w:rsidR="004053DB" w:rsidRDefault="004053DB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37A2C849" w14:textId="77777777" w:rsidR="004053DB" w:rsidRDefault="004053D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7AEA7727" w14:textId="77777777" w:rsidR="004053DB" w:rsidRDefault="004053D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0FE9FCD2" w14:textId="77777777" w:rsidR="004053DB" w:rsidRDefault="004053D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1E94BC43" w14:textId="77777777" w:rsidR="004053DB" w:rsidRDefault="004053D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4053DB" w14:paraId="35E0ABDB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C015B34" w14:textId="77777777" w:rsidR="004053DB" w:rsidRDefault="004053DB" w:rsidP="004053D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0B14BE99" w14:textId="77777777" w:rsidR="004053DB" w:rsidRDefault="004053DB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2UT1 SUE Request</w:t>
            </w:r>
          </w:p>
        </w:tc>
      </w:tr>
      <w:tr w:rsidR="004053DB" w14:paraId="7A7A92BE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72DB3D9" w14:textId="77777777" w:rsidR="004053DB" w:rsidRDefault="004053DB" w:rsidP="004053D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F5943A6" w14:textId="089ED070" w:rsidR="004053DB" w:rsidRDefault="004053DB" w:rsidP="004053D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utilities are shown on the plans in the same alignment as on the plans provided by the utilities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762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E8543DF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999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989928E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87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C85BE8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53DB" w14:paraId="444B98A4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B5C7D75" w14:textId="77777777" w:rsidR="004053DB" w:rsidRDefault="004053DB" w:rsidP="004053D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645C3DA" w14:textId="0A472F5D" w:rsidR="004053DB" w:rsidRDefault="004053DB" w:rsidP="004053D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Easements are shown as requested by the utilities, with the utilities’ needs combined as necessary.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16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D774D93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16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4E7CFE6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594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C1FA00A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53DB" w14:paraId="33797551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32BB2D5" w14:textId="77777777" w:rsidR="004053DB" w:rsidRDefault="004053DB" w:rsidP="004053D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5E785464" w14:textId="3455E29A" w:rsidR="004053DB" w:rsidRDefault="004053DB" w:rsidP="004053D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easements are closed and bounded by R/W lines</w:t>
            </w:r>
            <w:r w:rsidR="006532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railroad right of way lines, or other NCDOT easement lines.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920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94A7750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2458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8D022FC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591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3DAFF1A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53DB" w14:paraId="7572DB83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5967B6B" w14:textId="77777777" w:rsidR="004053DB" w:rsidRDefault="004053DB" w:rsidP="004053D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9098D4B" w14:textId="5BBE5CC3" w:rsidR="004053DB" w:rsidRDefault="004053DB" w:rsidP="004053D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easement corners are marked with station and offset.  Easement widths should be denoted for review purposes.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00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E7E2C6B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67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97AEB39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263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B9EC831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53DB" w14:paraId="42BB247E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25C1704" w14:textId="77777777" w:rsidR="004053DB" w:rsidRDefault="004053DB" w:rsidP="004053D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31EBD9FB" w14:textId="6DEDF159" w:rsidR="004053DB" w:rsidRDefault="004053DB" w:rsidP="004053D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Utility Easements are used for temporary relocations.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746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01650BE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812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246BB5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1299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744BAB3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53DB" w14:paraId="27FE55B5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073C9D8" w14:textId="77777777" w:rsidR="004053DB" w:rsidRDefault="004053DB" w:rsidP="004053D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151335AB" w14:textId="2286FAF0" w:rsidR="004053DB" w:rsidRDefault="004053DB" w:rsidP="004053D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Easements requested are necessary for the relocation of utilities.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388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CFE9E91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4345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F15D20D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833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283176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053DB" w14:paraId="7C5856CA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32AD26D" w14:textId="77777777" w:rsidR="004053DB" w:rsidRDefault="004053DB" w:rsidP="004053D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CD778FC" w14:textId="2F558C2D" w:rsidR="004053DB" w:rsidRDefault="004053DB" w:rsidP="004053D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Easements requested are not </w:t>
            </w:r>
            <w:proofErr w:type="gramStart"/>
            <w:r>
              <w:rPr>
                <w:sz w:val="20"/>
                <w:szCs w:val="20"/>
              </w:rPr>
              <w:t>in excess of</w:t>
            </w:r>
            <w:proofErr w:type="gramEnd"/>
            <w:r>
              <w:rPr>
                <w:sz w:val="20"/>
                <w:szCs w:val="20"/>
              </w:rPr>
              <w:t xml:space="preserve"> the needs of the utilities for relocation.</w:t>
            </w:r>
          </w:p>
        </w:tc>
        <w:sdt>
          <w:sdtPr>
            <w:rPr>
              <w:rFonts w:cstheme="minorHAnsi"/>
              <w:sz w:val="20"/>
              <w:szCs w:val="20"/>
            </w:rPr>
            <w:id w:val="96339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1495022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3674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4941A78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962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0C839A5" w14:textId="77777777" w:rsidR="004053DB" w:rsidRDefault="004053DB" w:rsidP="004053D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3FE8" w14:paraId="7CC56A5C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79076CA" w14:textId="77777777" w:rsidR="00E13FE8" w:rsidRDefault="00E13FE8" w:rsidP="00E13FE8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C29EC36" w14:textId="7FEF5CA8" w:rsidR="00E13FE8" w:rsidRDefault="00E13FE8" w:rsidP="00E13FE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No structure is affected by a utility easement except with prior approval of the Project Manager.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6639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1F57C2BD" w14:textId="04596BA6" w:rsidR="00E13FE8" w:rsidRDefault="00275B00" w:rsidP="00E13FE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606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4D68E87" w14:textId="0333674F" w:rsidR="00E13FE8" w:rsidRDefault="00E13FE8" w:rsidP="00E13FE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9272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626778F" w14:textId="660EE4B0" w:rsidR="00E13FE8" w:rsidRDefault="00E13FE8" w:rsidP="00E13FE8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B00" w14:paraId="03E63BA0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C8E3B37" w14:textId="77777777" w:rsidR="00275B00" w:rsidRDefault="00275B00" w:rsidP="00275B00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782871F" w14:textId="6E295A43" w:rsidR="00275B00" w:rsidRDefault="00275B00" w:rsidP="00275B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most up to date design file and fs file is used.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0472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25867772" w14:textId="4F422EC6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0793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2A11952" w14:textId="2FD8F5F6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6591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69552E83" w14:textId="3160990A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B00" w14:paraId="025C5D4C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4067A24" w14:textId="77777777" w:rsidR="00275B00" w:rsidRDefault="00275B00" w:rsidP="00275B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6788B388" w14:textId="62051E0D" w:rsidR="00275B00" w:rsidRDefault="00275B00" w:rsidP="00275B00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Utility Parcel List</w:t>
            </w:r>
          </w:p>
        </w:tc>
      </w:tr>
      <w:tr w:rsidR="00275B00" w14:paraId="002AD669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2C73EDE0" w14:textId="77777777" w:rsidR="00275B00" w:rsidRDefault="00275B00" w:rsidP="00275B00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67965DE" w14:textId="60BCA578" w:rsidR="00275B00" w:rsidRDefault="00275B00" w:rsidP="00275B0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All parcels containing utilities constructed by others in areas of proposed right of way or easement are identified in this list. Do not include p</w:t>
            </w:r>
            <w:commentRangeStart w:id="1"/>
            <w:commentRangeStart w:id="2"/>
            <w:r>
              <w:rPr>
                <w:sz w:val="20"/>
                <w:szCs w:val="20"/>
              </w:rPr>
              <w:t>arcels with only utilities constructed in the roadway contract and no utilities constructed by others.</w:t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sdt>
          <w:sdtPr>
            <w:rPr>
              <w:rFonts w:cstheme="minorHAnsi"/>
              <w:sz w:val="20"/>
              <w:szCs w:val="20"/>
            </w:rPr>
            <w:id w:val="158503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A45EF09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23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EFE9A2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2952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9E2E2FD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B00" w14:paraId="54B52233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06702D1A" w14:textId="77777777" w:rsidR="00275B00" w:rsidRDefault="00275B00" w:rsidP="00275B00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87EDF58" w14:textId="2D7C2F44" w:rsidR="00275B00" w:rsidRDefault="00275B00" w:rsidP="00275B0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The utilities to be constructed on each listed parcel are identified.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333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64AEADA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349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320837A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7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160AC0C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B00" w14:paraId="05CBCF3B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3EDD033" w14:textId="77777777" w:rsidR="00275B00" w:rsidRDefault="00275B00" w:rsidP="00275B00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15590DEB" w14:textId="102E111B" w:rsidR="00275B00" w:rsidRDefault="00275B00" w:rsidP="00275B0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 of parcels required to support relocation schedule identified.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30535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477BE99" w14:textId="422EFBA0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95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D7BF55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7843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FD41237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B00" w14:paraId="23B38EC4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77918EED" w14:textId="77777777" w:rsidR="00275B00" w:rsidRDefault="00275B00" w:rsidP="00275B00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6251F79" w14:textId="525304A3" w:rsidR="00275B00" w:rsidRDefault="00275B00" w:rsidP="00275B0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If the construction of utility lines is in discontinuous segments, groupings of parcels to support partial relocations are identified.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7493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93524B8" w14:textId="5B08048A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951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06CE96CA" w14:textId="065C523E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2756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E7B853F" w14:textId="1ECBD809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B00" w14:paraId="098082B1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3A78B69E" w14:textId="77777777" w:rsidR="00275B00" w:rsidRDefault="00275B00" w:rsidP="00275B00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40294D4" w14:textId="55E5B429" w:rsidR="00275B00" w:rsidRDefault="00275B00" w:rsidP="00275B0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Target parcel acquisition date(s) are supplied to support the relocation schedule.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289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32146328" w14:textId="50759375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7113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532CBCB6" w14:textId="4DF69F70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0479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</w:tcPr>
              <w:p w14:paraId="76508162" w14:textId="094F6BD3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B00" w14:paraId="7E95B977" w14:textId="77777777" w:rsidTr="001F31B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76D9B8A9" w14:textId="77777777" w:rsidR="00275B00" w:rsidRDefault="00275B00" w:rsidP="00275B0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hideMark/>
          </w:tcPr>
          <w:p w14:paraId="198E2E5F" w14:textId="354E24EF" w:rsidR="00275B00" w:rsidRDefault="00275B00" w:rsidP="00275B00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Deliverables</w:t>
            </w:r>
          </w:p>
        </w:tc>
      </w:tr>
      <w:tr w:rsidR="00275B00" w14:paraId="62A078A1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0F90AF5" w14:textId="77777777" w:rsidR="00275B00" w:rsidRDefault="00275B00" w:rsidP="00275B00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7D26353D" w14:textId="1B642347" w:rsidR="00275B00" w:rsidRDefault="00275B00" w:rsidP="00275B0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QC approves utility easement request.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65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DD55601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010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C512D1F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633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13CC00D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5B00" w14:paraId="22F61939" w14:textId="77777777" w:rsidTr="004053D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140A463" w14:textId="77777777" w:rsidR="00275B00" w:rsidRDefault="00275B00" w:rsidP="00275B00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67EF3305" w14:textId="30627A9F" w:rsidR="00275B00" w:rsidRDefault="00275B00" w:rsidP="00275B0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QC approves </w:t>
            </w:r>
            <w:proofErr w:type="gramStart"/>
            <w:r w:rsidR="005D18C2">
              <w:rPr>
                <w:sz w:val="20"/>
                <w:szCs w:val="20"/>
              </w:rPr>
              <w:t xml:space="preserve">Utility </w:t>
            </w:r>
            <w:r>
              <w:rPr>
                <w:sz w:val="20"/>
                <w:szCs w:val="20"/>
              </w:rPr>
              <w:t xml:space="preserve"> Parcel</w:t>
            </w:r>
            <w:proofErr w:type="gramEnd"/>
            <w:r>
              <w:rPr>
                <w:sz w:val="20"/>
                <w:szCs w:val="20"/>
              </w:rPr>
              <w:t xml:space="preserve"> List.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7555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E85247A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638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4D5381C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6222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2D65133" w14:textId="77777777" w:rsidR="00275B00" w:rsidRDefault="00275B00" w:rsidP="00275B0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5FF8024" w14:textId="77777777" w:rsidR="004053DB" w:rsidRPr="004053DB" w:rsidRDefault="004053DB" w:rsidP="0017078A">
      <w:pPr>
        <w:spacing w:before="240"/>
      </w:pPr>
    </w:p>
    <w:p w14:paraId="2A6E4E6F" w14:textId="77777777" w:rsidR="0036654D" w:rsidRDefault="0036654D" w:rsidP="0036654D">
      <w:pPr>
        <w:spacing w:before="240" w:after="240"/>
        <w:rPr>
          <w:b/>
          <w:bCs/>
        </w:rPr>
      </w:pPr>
    </w:p>
    <w:p w14:paraId="64C3CF77" w14:textId="77777777" w:rsidR="0036654D" w:rsidRDefault="0036654D" w:rsidP="006A3F96">
      <w:pPr>
        <w:keepNext/>
        <w:spacing w:before="240" w:after="0"/>
        <w:rPr>
          <w:b/>
          <w:bCs/>
        </w:rPr>
      </w:pPr>
      <w:r>
        <w:rPr>
          <w:i/>
          <w:iCs/>
        </w:rPr>
        <w:lastRenderedPageBreak/>
        <w:t>For items marked</w:t>
      </w:r>
      <w:r>
        <w:rPr>
          <w:b/>
          <w:bCs/>
          <w:i/>
          <w:iCs/>
        </w:rPr>
        <w:t xml:space="preserve"> No </w:t>
      </w:r>
      <w:r>
        <w:rPr>
          <w:i/>
          <w:iCs/>
        </w:rPr>
        <w:t xml:space="preserve">that require further explanation,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36654D" w14:paraId="0413DF20" w14:textId="77777777" w:rsidTr="0036654D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46FAEB96" w14:textId="77777777" w:rsidR="0036654D" w:rsidRDefault="003665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32CADCA" w14:textId="77777777" w:rsidR="0036654D" w:rsidRDefault="0036654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36654D" w14:paraId="4CA70F9E" w14:textId="77777777" w:rsidTr="0036654D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4E4C5441454647B98499F7D79B5AFED9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09637FB5" w14:textId="77777777" w:rsidR="0036654D" w:rsidRDefault="0036654D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3C3DED4B6B5245838EC5E27511FA4377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4926F541" w14:textId="77777777" w:rsidR="0036654D" w:rsidRDefault="0036654D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769BA8C9" w14:textId="77777777" w:rsidR="0036654D" w:rsidRDefault="0036654D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400F101E" w14:textId="77777777" w:rsidR="0036654D" w:rsidRDefault="0036654D" w:rsidP="0036654D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36654D" w14:paraId="5D29D7D7" w14:textId="77777777" w:rsidTr="0036654D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1CEA2212" w14:textId="77777777" w:rsidR="0036654D" w:rsidRDefault="0036654D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36654D" w14:paraId="3BC4C4F5" w14:textId="77777777" w:rsidTr="0036654D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294A4200" w14:textId="77777777" w:rsidR="0036654D" w:rsidRDefault="0036654D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D89FF8098C164ABCA7E2BD39D0DD4E3D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0D2CD3F" w14:textId="77777777" w:rsidR="0036654D" w:rsidRDefault="0036654D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5218BC28" w14:textId="77777777" w:rsidR="0036654D" w:rsidRDefault="0036654D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93288ECA62394A37962757EE43B4079D"/>
            </w:placeholder>
            <w:showingPlcHdr/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9F7354F" w14:textId="77777777" w:rsidR="0036654D" w:rsidRDefault="0036654D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36654D" w14:paraId="442F686E" w14:textId="77777777" w:rsidTr="0036654D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06C4B9C2" w14:textId="77777777" w:rsidR="0036654D" w:rsidRDefault="0036654D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416F748" w14:textId="77777777" w:rsidR="0036654D" w:rsidRDefault="0036654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0195AA6" w14:textId="77777777" w:rsidR="0036654D" w:rsidRDefault="0036654D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7B775D0" w14:textId="77777777" w:rsidR="0036654D" w:rsidRDefault="0036654D">
            <w:pPr>
              <w:jc w:val="center"/>
            </w:pPr>
          </w:p>
        </w:tc>
      </w:tr>
    </w:tbl>
    <w:p w14:paraId="7316FACF" w14:textId="77777777" w:rsidR="009B3465" w:rsidRDefault="009B3465"/>
    <w:sectPr w:rsidR="009B346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Rocco, Joanna" w:date="2023-03-17T09:11:00Z" w:initials="RJ">
    <w:p w14:paraId="369E6285" w14:textId="20F2EE11" w:rsidR="00275B00" w:rsidRPr="0099238F" w:rsidRDefault="00275B00">
      <w:pPr>
        <w:pStyle w:val="CommentText"/>
      </w:pPr>
      <w:r>
        <w:rPr>
          <w:rStyle w:val="CommentReference"/>
        </w:rPr>
        <w:annotationRef/>
      </w:r>
      <w:r w:rsidRPr="0099238F">
        <w:t>Gary noted these should be included but not listed as priority parcels</w:t>
      </w:r>
    </w:p>
  </w:comment>
  <w:comment w:id="2" w:author="Hemphill, Bo" w:date="2023-04-14T16:30:00Z" w:initials="HB">
    <w:p w14:paraId="349573F2" w14:textId="77777777" w:rsidR="00275B00" w:rsidRDefault="00275B00" w:rsidP="006F5934">
      <w:pPr>
        <w:pStyle w:val="CommentText"/>
      </w:pPr>
      <w:r>
        <w:rPr>
          <w:rStyle w:val="CommentReference"/>
        </w:rPr>
        <w:annotationRef/>
      </w:r>
      <w:r>
        <w:t>Accepted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9E6285" w15:done="1"/>
  <w15:commentEx w15:paraId="349573F2" w15:paraIdParent="369E628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AD4C" w16cex:dateUtc="2023-03-17T13:11:00Z"/>
  <w16cex:commentExtensible w16cex:durableId="27E3FE1C" w16cex:dateUtc="2023-04-14T2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9E6285" w16cid:durableId="27BEAD4C"/>
  <w16cid:commentId w16cid:paraId="349573F2" w16cid:durableId="27E3FE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A43F" w14:textId="77777777" w:rsidR="00180085" w:rsidRDefault="00180085" w:rsidP="00AC05A3">
      <w:pPr>
        <w:spacing w:after="0" w:line="240" w:lineRule="auto"/>
      </w:pPr>
      <w:r>
        <w:separator/>
      </w:r>
    </w:p>
  </w:endnote>
  <w:endnote w:type="continuationSeparator" w:id="0">
    <w:p w14:paraId="303462BD" w14:textId="77777777" w:rsidR="00180085" w:rsidRDefault="00180085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9DF" w14:textId="3AF4A4F5" w:rsidR="00AC05A3" w:rsidRPr="00AF0365" w:rsidRDefault="00AF0365" w:rsidP="00AF0365">
    <w:pPr>
      <w:pStyle w:val="Footer"/>
      <w:jc w:val="right"/>
    </w:pPr>
    <w:r>
      <w:t xml:space="preserve">Version </w:t>
    </w:r>
    <w:r w:rsidR="00B67472">
      <w:rPr>
        <w:b/>
        <w:bCs/>
      </w:rPr>
      <w:t>1.0 (</w:t>
    </w:r>
    <w:r w:rsidR="00C84D5F">
      <w:rPr>
        <w:b/>
        <w:bCs/>
      </w:rPr>
      <w:t>4/18/23)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0B1B" w14:textId="77777777" w:rsidR="00180085" w:rsidRDefault="00180085" w:rsidP="00AC05A3">
      <w:pPr>
        <w:spacing w:after="0" w:line="240" w:lineRule="auto"/>
      </w:pPr>
      <w:r>
        <w:separator/>
      </w:r>
    </w:p>
  </w:footnote>
  <w:footnote w:type="continuationSeparator" w:id="0">
    <w:p w14:paraId="001C4E10" w14:textId="77777777" w:rsidR="00180085" w:rsidRDefault="00180085" w:rsidP="00AC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666" w14:textId="2E7F64AB" w:rsidR="00AC05A3" w:rsidRDefault="00AC0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4B6"/>
    <w:multiLevelType w:val="multilevel"/>
    <w:tmpl w:val="661A5B5E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659504">
    <w:abstractNumId w:val="3"/>
  </w:num>
  <w:num w:numId="2" w16cid:durableId="1886988345">
    <w:abstractNumId w:val="1"/>
  </w:num>
  <w:num w:numId="3" w16cid:durableId="682974685">
    <w:abstractNumId w:val="4"/>
  </w:num>
  <w:num w:numId="4" w16cid:durableId="572815917">
    <w:abstractNumId w:val="2"/>
  </w:num>
  <w:num w:numId="5" w16cid:durableId="222788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cco, Joanna">
    <w15:presenceInfo w15:providerId="AD" w15:userId="S::joanna.rocco@aecom.com::2abdf27c-ea74-499e-a7a9-74cb84b819f9"/>
  </w15:person>
  <w15:person w15:author="Hemphill, Bo">
    <w15:presenceInfo w15:providerId="AD" w15:userId="S::bohemphill@ncdot.gov::ba4d1efb-5ac7-4e44-a555-510a874aa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02A94"/>
    <w:rsid w:val="00011256"/>
    <w:rsid w:val="000404AC"/>
    <w:rsid w:val="00040FB7"/>
    <w:rsid w:val="00043353"/>
    <w:rsid w:val="000449C5"/>
    <w:rsid w:val="00056407"/>
    <w:rsid w:val="0008300E"/>
    <w:rsid w:val="000C0635"/>
    <w:rsid w:val="000C185B"/>
    <w:rsid w:val="000D19B8"/>
    <w:rsid w:val="000E3AD1"/>
    <w:rsid w:val="0013321F"/>
    <w:rsid w:val="00142453"/>
    <w:rsid w:val="0015546A"/>
    <w:rsid w:val="001673E4"/>
    <w:rsid w:val="0017078A"/>
    <w:rsid w:val="0017672F"/>
    <w:rsid w:val="00180085"/>
    <w:rsid w:val="00183B35"/>
    <w:rsid w:val="001D114C"/>
    <w:rsid w:val="001F11FC"/>
    <w:rsid w:val="001F34FD"/>
    <w:rsid w:val="00252F9A"/>
    <w:rsid w:val="00275B00"/>
    <w:rsid w:val="002A1453"/>
    <w:rsid w:val="002B1393"/>
    <w:rsid w:val="002B4F2F"/>
    <w:rsid w:val="002C458F"/>
    <w:rsid w:val="002C772F"/>
    <w:rsid w:val="002E71EA"/>
    <w:rsid w:val="003144EA"/>
    <w:rsid w:val="00355D9C"/>
    <w:rsid w:val="00361F20"/>
    <w:rsid w:val="0036654D"/>
    <w:rsid w:val="00383C0A"/>
    <w:rsid w:val="00384810"/>
    <w:rsid w:val="00387CCA"/>
    <w:rsid w:val="0039374D"/>
    <w:rsid w:val="003B22DD"/>
    <w:rsid w:val="003B603D"/>
    <w:rsid w:val="003C5879"/>
    <w:rsid w:val="003E07B7"/>
    <w:rsid w:val="003F223F"/>
    <w:rsid w:val="003F79A3"/>
    <w:rsid w:val="004053DB"/>
    <w:rsid w:val="00407519"/>
    <w:rsid w:val="00420EFB"/>
    <w:rsid w:val="004462AD"/>
    <w:rsid w:val="00447020"/>
    <w:rsid w:val="00465CE6"/>
    <w:rsid w:val="00472479"/>
    <w:rsid w:val="0047344B"/>
    <w:rsid w:val="00474A7F"/>
    <w:rsid w:val="00480A9D"/>
    <w:rsid w:val="00484E3E"/>
    <w:rsid w:val="00492837"/>
    <w:rsid w:val="004A4D53"/>
    <w:rsid w:val="004C53EA"/>
    <w:rsid w:val="004C7698"/>
    <w:rsid w:val="004F6CE0"/>
    <w:rsid w:val="005516A6"/>
    <w:rsid w:val="00582757"/>
    <w:rsid w:val="00593892"/>
    <w:rsid w:val="005B7906"/>
    <w:rsid w:val="005C0274"/>
    <w:rsid w:val="005D18C2"/>
    <w:rsid w:val="005E439C"/>
    <w:rsid w:val="005F450C"/>
    <w:rsid w:val="00614176"/>
    <w:rsid w:val="0064433A"/>
    <w:rsid w:val="006532B2"/>
    <w:rsid w:val="006736AB"/>
    <w:rsid w:val="006A3F96"/>
    <w:rsid w:val="006B2A8D"/>
    <w:rsid w:val="006F6AB9"/>
    <w:rsid w:val="0070269E"/>
    <w:rsid w:val="0072748C"/>
    <w:rsid w:val="007434DF"/>
    <w:rsid w:val="00757A00"/>
    <w:rsid w:val="00783877"/>
    <w:rsid w:val="00791F03"/>
    <w:rsid w:val="007B2C2B"/>
    <w:rsid w:val="007B61E6"/>
    <w:rsid w:val="007C0CF2"/>
    <w:rsid w:val="007D1378"/>
    <w:rsid w:val="007E2CAB"/>
    <w:rsid w:val="008108BD"/>
    <w:rsid w:val="008217BF"/>
    <w:rsid w:val="00823AC5"/>
    <w:rsid w:val="0082413B"/>
    <w:rsid w:val="00834CC5"/>
    <w:rsid w:val="00841363"/>
    <w:rsid w:val="00842555"/>
    <w:rsid w:val="00845335"/>
    <w:rsid w:val="008528A5"/>
    <w:rsid w:val="00855F20"/>
    <w:rsid w:val="00872A0F"/>
    <w:rsid w:val="00885524"/>
    <w:rsid w:val="008924EC"/>
    <w:rsid w:val="008B3188"/>
    <w:rsid w:val="008C0578"/>
    <w:rsid w:val="008E39B3"/>
    <w:rsid w:val="009136D6"/>
    <w:rsid w:val="00916A44"/>
    <w:rsid w:val="00927029"/>
    <w:rsid w:val="0093566D"/>
    <w:rsid w:val="00940E3E"/>
    <w:rsid w:val="00956D99"/>
    <w:rsid w:val="009609DA"/>
    <w:rsid w:val="00972E81"/>
    <w:rsid w:val="009817B4"/>
    <w:rsid w:val="00982C34"/>
    <w:rsid w:val="0099238F"/>
    <w:rsid w:val="009B0718"/>
    <w:rsid w:val="009B3465"/>
    <w:rsid w:val="009D4659"/>
    <w:rsid w:val="00A05F47"/>
    <w:rsid w:val="00A44F23"/>
    <w:rsid w:val="00A63BCC"/>
    <w:rsid w:val="00A7088C"/>
    <w:rsid w:val="00A92DB7"/>
    <w:rsid w:val="00A94257"/>
    <w:rsid w:val="00A972B1"/>
    <w:rsid w:val="00AA40C1"/>
    <w:rsid w:val="00AB1ABB"/>
    <w:rsid w:val="00AC05A3"/>
    <w:rsid w:val="00AC4170"/>
    <w:rsid w:val="00AC62F2"/>
    <w:rsid w:val="00AD78AA"/>
    <w:rsid w:val="00AF0365"/>
    <w:rsid w:val="00AF2944"/>
    <w:rsid w:val="00B035BA"/>
    <w:rsid w:val="00B12039"/>
    <w:rsid w:val="00B20F3E"/>
    <w:rsid w:val="00B2339E"/>
    <w:rsid w:val="00B44F3D"/>
    <w:rsid w:val="00B53759"/>
    <w:rsid w:val="00B54DA4"/>
    <w:rsid w:val="00B659BF"/>
    <w:rsid w:val="00B67472"/>
    <w:rsid w:val="00B85FA1"/>
    <w:rsid w:val="00B92E15"/>
    <w:rsid w:val="00B95D26"/>
    <w:rsid w:val="00BA0AC0"/>
    <w:rsid w:val="00BB2036"/>
    <w:rsid w:val="00BD5F17"/>
    <w:rsid w:val="00BF508A"/>
    <w:rsid w:val="00C1029E"/>
    <w:rsid w:val="00C253C3"/>
    <w:rsid w:val="00C32110"/>
    <w:rsid w:val="00C47292"/>
    <w:rsid w:val="00C518BD"/>
    <w:rsid w:val="00C54278"/>
    <w:rsid w:val="00C609F7"/>
    <w:rsid w:val="00C62C61"/>
    <w:rsid w:val="00C65FB1"/>
    <w:rsid w:val="00C84D5F"/>
    <w:rsid w:val="00C93463"/>
    <w:rsid w:val="00C9357E"/>
    <w:rsid w:val="00C95DDC"/>
    <w:rsid w:val="00CA7ECB"/>
    <w:rsid w:val="00CE606F"/>
    <w:rsid w:val="00CE6EFB"/>
    <w:rsid w:val="00D14CFA"/>
    <w:rsid w:val="00D20C01"/>
    <w:rsid w:val="00D236E1"/>
    <w:rsid w:val="00D24668"/>
    <w:rsid w:val="00D2720D"/>
    <w:rsid w:val="00D3763F"/>
    <w:rsid w:val="00D409EB"/>
    <w:rsid w:val="00D41952"/>
    <w:rsid w:val="00DA776E"/>
    <w:rsid w:val="00DD02B3"/>
    <w:rsid w:val="00DF720B"/>
    <w:rsid w:val="00E01B58"/>
    <w:rsid w:val="00E13FE8"/>
    <w:rsid w:val="00E34767"/>
    <w:rsid w:val="00E376D8"/>
    <w:rsid w:val="00E635A4"/>
    <w:rsid w:val="00E643BD"/>
    <w:rsid w:val="00E66EAC"/>
    <w:rsid w:val="00E72187"/>
    <w:rsid w:val="00EA20F3"/>
    <w:rsid w:val="00EB02E7"/>
    <w:rsid w:val="00ED1668"/>
    <w:rsid w:val="00ED5183"/>
    <w:rsid w:val="00EF7FAF"/>
    <w:rsid w:val="00F3762F"/>
    <w:rsid w:val="00F52E62"/>
    <w:rsid w:val="00F54F65"/>
    <w:rsid w:val="00F569E6"/>
    <w:rsid w:val="00F6424F"/>
    <w:rsid w:val="00F77075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C5441454647B98499F7D79B5A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3839-B888-491A-BD7F-F13B2EE5AD7A}"/>
      </w:docPartPr>
      <w:docPartBody>
        <w:p w:rsidR="00583C9E" w:rsidRDefault="00C10651" w:rsidP="00C10651">
          <w:pPr>
            <w:pStyle w:val="4E4C5441454647B98499F7D79B5AFED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3C3DED4B6B5245838EC5E27511FA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60EC-B520-44B0-B049-1A447F2B1EB1}"/>
      </w:docPartPr>
      <w:docPartBody>
        <w:p w:rsidR="00583C9E" w:rsidRDefault="00C10651" w:rsidP="00C10651">
          <w:pPr>
            <w:pStyle w:val="3C3DED4B6B5245838EC5E27511FA4377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89FF8098C164ABCA7E2BD39D0DD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172C-4F09-40E9-AF67-ED73CD5BAC93}"/>
      </w:docPartPr>
      <w:docPartBody>
        <w:p w:rsidR="00583C9E" w:rsidRDefault="00C10651" w:rsidP="00C10651">
          <w:pPr>
            <w:pStyle w:val="D89FF8098C164ABCA7E2BD39D0DD4E3D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93288ECA62394A37962757EE43B4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EF6A-F667-4BE8-B43C-3A7B9AD1C8DE}"/>
      </w:docPartPr>
      <w:docPartBody>
        <w:p w:rsidR="00583C9E" w:rsidRDefault="00C10651" w:rsidP="00C10651">
          <w:pPr>
            <w:pStyle w:val="93288ECA62394A37962757EE43B4079D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0CFCFBC0AC6446DEA2D0AFD25266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F9E2-156E-402E-908A-421B4A52F72B}"/>
      </w:docPartPr>
      <w:docPartBody>
        <w:p w:rsidR="00583C9E" w:rsidRDefault="00C10651" w:rsidP="00C10651">
          <w:pPr>
            <w:pStyle w:val="0CFCFBC0AC6446DEA2D0AFD25266BFF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3F91573943154A2BAE6037A2E85B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5489-3A50-4332-98B9-154073E11E03}"/>
      </w:docPartPr>
      <w:docPartBody>
        <w:p w:rsidR="00583C9E" w:rsidRDefault="00C10651" w:rsidP="00C10651">
          <w:pPr>
            <w:pStyle w:val="3F91573943154A2BAE6037A2E85BFC90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51"/>
    <w:rsid w:val="003853C2"/>
    <w:rsid w:val="00583C9E"/>
    <w:rsid w:val="006B158C"/>
    <w:rsid w:val="007A5A5A"/>
    <w:rsid w:val="007F0E14"/>
    <w:rsid w:val="00C10651"/>
    <w:rsid w:val="00F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C5441454647B98499F7D79B5AFED9">
    <w:name w:val="4E4C5441454647B98499F7D79B5AFED9"/>
    <w:rsid w:val="00C10651"/>
  </w:style>
  <w:style w:type="paragraph" w:customStyle="1" w:styleId="3C3DED4B6B5245838EC5E27511FA4377">
    <w:name w:val="3C3DED4B6B5245838EC5E27511FA4377"/>
    <w:rsid w:val="00C10651"/>
  </w:style>
  <w:style w:type="paragraph" w:customStyle="1" w:styleId="D89FF8098C164ABCA7E2BD39D0DD4E3D">
    <w:name w:val="D89FF8098C164ABCA7E2BD39D0DD4E3D"/>
    <w:rsid w:val="00C10651"/>
  </w:style>
  <w:style w:type="paragraph" w:customStyle="1" w:styleId="93288ECA62394A37962757EE43B4079D">
    <w:name w:val="93288ECA62394A37962757EE43B4079D"/>
    <w:rsid w:val="00C10651"/>
  </w:style>
  <w:style w:type="paragraph" w:customStyle="1" w:styleId="0CFCFBC0AC6446DEA2D0AFD25266BFF6">
    <w:name w:val="0CFCFBC0AC6446DEA2D0AFD25266BFF6"/>
    <w:rsid w:val="00C10651"/>
  </w:style>
  <w:style w:type="paragraph" w:customStyle="1" w:styleId="3F91573943154A2BAE6037A2E85BFC90">
    <w:name w:val="3F91573943154A2BAE6037A2E85BFC90"/>
    <w:rsid w:val="00C10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QCQA xmlns="d95c6cb5-84e5-4c06-a84e-e39c209ea3c9">QC</QCQA>
    <Deliverables xmlns="d95c6cb5-84e5-4c06-a84e-e39c209ea3c9">Utility Easement Request, Utility Parcel List</Deliverables>
    <Stage xmlns="d95c6cb5-84e5-4c06-a84e-e39c209ea3c9">2UT1 Initiate Utility Coordination</Stage>
  </documentManagement>
</p:properties>
</file>

<file path=customXml/itemProps1.xml><?xml version="1.0" encoding="utf-8"?>
<ds:datastoreItem xmlns:ds="http://schemas.openxmlformats.org/officeDocument/2006/customXml" ds:itemID="{9011C19F-1270-45E8-8400-DB38FDFEC4EA}"/>
</file>

<file path=customXml/itemProps2.xml><?xml version="1.0" encoding="utf-8"?>
<ds:datastoreItem xmlns:ds="http://schemas.openxmlformats.org/officeDocument/2006/customXml" ds:itemID="{D12F1892-2050-434C-A3D8-966F41DEFC7E}"/>
</file>

<file path=customXml/itemProps3.xml><?xml version="1.0" encoding="utf-8"?>
<ds:datastoreItem xmlns:ds="http://schemas.openxmlformats.org/officeDocument/2006/customXml" ds:itemID="{DC0BE779-E5BD-4D0D-B8AD-0E606B7DF7DB}"/>
</file>

<file path=customXml/itemProps4.xml><?xml version="1.0" encoding="utf-8"?>
<ds:datastoreItem xmlns:ds="http://schemas.openxmlformats.org/officeDocument/2006/customXml" ds:itemID="{4A574DC9-8768-4F64-8804-DA8564151EBD}"/>
</file>

<file path=customXml/itemProps5.xml><?xml version="1.0" encoding="utf-8"?>
<ds:datastoreItem xmlns:ds="http://schemas.openxmlformats.org/officeDocument/2006/customXml" ds:itemID="{74F4D031-4FBF-4923-BACD-EE48DDCAF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77</cp:revision>
  <cp:lastPrinted>2023-04-14T20:23:00Z</cp:lastPrinted>
  <dcterms:created xsi:type="dcterms:W3CDTF">2021-09-09T22:46:00Z</dcterms:created>
  <dcterms:modified xsi:type="dcterms:W3CDTF">2023-04-18T20:37:00Z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700</vt:r8>
  </property>
</Properties>
</file>