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942C" w14:textId="77777777" w:rsid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7106">
        <w:rPr>
          <w:rFonts w:ascii="Times New Roman" w:hAnsi="Times New Roman"/>
          <w:b/>
          <w:sz w:val="24"/>
          <w:szCs w:val="24"/>
          <w:u w:val="single"/>
        </w:rPr>
        <w:t>MOVABLE CONCRETE BARRIER</w:t>
      </w:r>
      <w:r w:rsidR="00940098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FE0942D" w14:textId="5AF88522" w:rsidR="00157106" w:rsidRPr="00E60A4C" w:rsidRDefault="00157106" w:rsidP="00E60A4C">
      <w:pPr>
        <w:spacing w:before="9"/>
        <w:ind w:right="75"/>
        <w:jc w:val="both"/>
        <w:rPr>
          <w:rFonts w:ascii="Times New Roman" w:eastAsia="Arial" w:hAnsi="Times New Roman"/>
          <w:sz w:val="16"/>
          <w:szCs w:val="16"/>
        </w:rPr>
      </w:pPr>
      <w:r w:rsidRPr="00157106">
        <w:rPr>
          <w:rFonts w:ascii="Times New Roman" w:hAnsi="Times New Roman"/>
          <w:sz w:val="16"/>
          <w:szCs w:val="16"/>
        </w:rPr>
        <w:t>(02/06/20</w:t>
      </w:r>
      <w:r w:rsidRPr="00E60A4C">
        <w:rPr>
          <w:rFonts w:ascii="Times New Roman" w:hAnsi="Times New Roman"/>
          <w:sz w:val="16"/>
          <w:szCs w:val="16"/>
        </w:rPr>
        <w:t>13)</w:t>
      </w:r>
      <w:r w:rsidR="00E60A4C" w:rsidRPr="00E60A4C">
        <w:rPr>
          <w:rFonts w:ascii="Times New Roman" w:hAnsi="Times New Roman"/>
          <w:sz w:val="16"/>
          <w:szCs w:val="16"/>
        </w:rPr>
        <w:t xml:space="preserve"> </w:t>
      </w:r>
      <w:r w:rsidR="00E60A4C" w:rsidRPr="00E60A4C">
        <w:rPr>
          <w:rFonts w:ascii="Times New Roman" w:eastAsia="Arial" w:hAnsi="Times New Roman"/>
          <w:sz w:val="16"/>
          <w:szCs w:val="16"/>
        </w:rPr>
        <w:t>(Rev. 10/1</w:t>
      </w:r>
      <w:r w:rsidR="0046350D">
        <w:rPr>
          <w:rFonts w:ascii="Times New Roman" w:eastAsia="Arial" w:hAnsi="Times New Roman"/>
          <w:sz w:val="16"/>
          <w:szCs w:val="16"/>
        </w:rPr>
        <w:t>3</w:t>
      </w:r>
      <w:r w:rsidR="00E60A4C" w:rsidRPr="00E60A4C">
        <w:rPr>
          <w:rFonts w:ascii="Times New Roman" w:eastAsia="Arial" w:hAnsi="Times New Roman"/>
          <w:sz w:val="16"/>
          <w:szCs w:val="16"/>
        </w:rPr>
        <w:t>/2023)</w:t>
      </w:r>
    </w:p>
    <w:p w14:paraId="5FE0942E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FE0942F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Description</w:t>
      </w:r>
    </w:p>
    <w:p w14:paraId="5FE09430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1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Furnish, install, secure, maintain, remove and reset Movable Concrete Barrier in accordance with the plans and specifications. </w:t>
      </w:r>
    </w:p>
    <w:p w14:paraId="5FE09432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3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Materials</w:t>
      </w:r>
    </w:p>
    <w:p w14:paraId="5FE09434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5" w14:textId="3BF8C1DF" w:rsidR="00157106" w:rsidRPr="00157106" w:rsidRDefault="00505168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E20401">
        <w:rPr>
          <w:rFonts w:ascii="Times New Roman" w:hAnsi="Times New Roman"/>
          <w:sz w:val="24"/>
          <w:szCs w:val="24"/>
        </w:rPr>
        <w:t>General</w:t>
      </w:r>
    </w:p>
    <w:p w14:paraId="5FE09436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7" w14:textId="56BCCCD2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Provide Movable Concrete Barrier that meets the requirements of Section </w:t>
      </w:r>
      <w:r w:rsidR="001E0EAF">
        <w:rPr>
          <w:rFonts w:ascii="Times New Roman" w:hAnsi="Times New Roman"/>
          <w:sz w:val="24"/>
          <w:szCs w:val="24"/>
        </w:rPr>
        <w:t>854 and Section 1077 of the</w:t>
      </w:r>
      <w:r w:rsidR="005508DA">
        <w:rPr>
          <w:rFonts w:ascii="Times New Roman" w:hAnsi="Times New Roman"/>
          <w:sz w:val="24"/>
          <w:szCs w:val="24"/>
        </w:rPr>
        <w:t xml:space="preserve"> NCDOT </w:t>
      </w:r>
      <w:r w:rsidRPr="00157106">
        <w:rPr>
          <w:rFonts w:ascii="Times New Roman" w:hAnsi="Times New Roman"/>
          <w:sz w:val="24"/>
          <w:szCs w:val="24"/>
        </w:rPr>
        <w:t xml:space="preserve">Standard </w:t>
      </w:r>
      <w:proofErr w:type="gramStart"/>
      <w:r w:rsidRPr="00157106">
        <w:rPr>
          <w:rFonts w:ascii="Times New Roman" w:hAnsi="Times New Roman"/>
          <w:sz w:val="24"/>
          <w:szCs w:val="24"/>
        </w:rPr>
        <w:t>Specifications, and</w:t>
      </w:r>
      <w:proofErr w:type="gramEnd"/>
      <w:r w:rsidRPr="00157106">
        <w:rPr>
          <w:rFonts w:ascii="Times New Roman" w:hAnsi="Times New Roman"/>
          <w:sz w:val="24"/>
          <w:szCs w:val="24"/>
        </w:rPr>
        <w:t xml:space="preserve"> meets or exceeds the requirements of NCHRP 350</w:t>
      </w:r>
      <w:r w:rsidR="005508DA">
        <w:rPr>
          <w:rFonts w:ascii="Times New Roman" w:hAnsi="Times New Roman"/>
          <w:sz w:val="24"/>
          <w:szCs w:val="24"/>
        </w:rPr>
        <w:t xml:space="preserve"> or MASH</w:t>
      </w:r>
      <w:r w:rsidRPr="00157106">
        <w:rPr>
          <w:rFonts w:ascii="Times New Roman" w:hAnsi="Times New Roman"/>
          <w:sz w:val="24"/>
          <w:szCs w:val="24"/>
        </w:rPr>
        <w:t xml:space="preserve"> Test Level II for work zones which have a p</w:t>
      </w:r>
      <w:r w:rsidR="00307268">
        <w:rPr>
          <w:rFonts w:ascii="Times New Roman" w:hAnsi="Times New Roman"/>
          <w:sz w:val="24"/>
          <w:szCs w:val="24"/>
        </w:rPr>
        <w:t xml:space="preserve">osted speed limit of 45 mph </w:t>
      </w:r>
      <w:r w:rsidRPr="00157106">
        <w:rPr>
          <w:rFonts w:ascii="Times New Roman" w:hAnsi="Times New Roman"/>
          <w:sz w:val="24"/>
          <w:szCs w:val="24"/>
        </w:rPr>
        <w:t xml:space="preserve">or less; and/or meets or exceeds the requirements of NCHRP 350 </w:t>
      </w:r>
      <w:r w:rsidR="005508DA">
        <w:rPr>
          <w:rFonts w:ascii="Times New Roman" w:hAnsi="Times New Roman"/>
          <w:sz w:val="24"/>
          <w:szCs w:val="24"/>
        </w:rPr>
        <w:t xml:space="preserve">or MASH </w:t>
      </w:r>
      <w:r w:rsidRPr="00157106">
        <w:rPr>
          <w:rFonts w:ascii="Times New Roman" w:hAnsi="Times New Roman"/>
          <w:sz w:val="24"/>
          <w:szCs w:val="24"/>
        </w:rPr>
        <w:t xml:space="preserve">Test Level III for work zones which have a posted </w:t>
      </w:r>
      <w:r w:rsidR="00307268">
        <w:rPr>
          <w:rFonts w:ascii="Times New Roman" w:hAnsi="Times New Roman"/>
          <w:sz w:val="24"/>
          <w:szCs w:val="24"/>
        </w:rPr>
        <w:t xml:space="preserve">speed limit of 50 mph </w:t>
      </w:r>
      <w:r w:rsidRPr="00157106">
        <w:rPr>
          <w:rFonts w:ascii="Times New Roman" w:hAnsi="Times New Roman"/>
          <w:sz w:val="24"/>
          <w:szCs w:val="24"/>
        </w:rPr>
        <w:t xml:space="preserve">or greater.  </w:t>
      </w:r>
    </w:p>
    <w:p w14:paraId="5FE09438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9" w14:textId="074CB802" w:rsidR="00157106" w:rsidRPr="00157106" w:rsidRDefault="00505168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57106" w:rsidRPr="00157106">
        <w:rPr>
          <w:rFonts w:ascii="Times New Roman" w:hAnsi="Times New Roman"/>
          <w:sz w:val="24"/>
          <w:szCs w:val="24"/>
        </w:rPr>
        <w:t>Material Qualifications</w:t>
      </w:r>
    </w:p>
    <w:p w14:paraId="5FE0943A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B" w14:textId="227395B5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Use Movable Concrete Barrier which is on the North Carolina Department of Transportation’s Approved Products List or is Traffic-qualified by the Work Zone Traffic Control Section.  For more information on the Traffic-qualification process, contact the Work Zone Traffic Control Section at 750 N. Greenfield Parkway, Garner, NC 27529, (919)</w:t>
      </w:r>
      <w:r w:rsidR="0009315A">
        <w:rPr>
          <w:rFonts w:ascii="Times New Roman" w:hAnsi="Times New Roman"/>
          <w:sz w:val="24"/>
          <w:szCs w:val="24"/>
        </w:rPr>
        <w:t xml:space="preserve"> 814-5000</w:t>
      </w:r>
      <w:r w:rsidRPr="00157106">
        <w:rPr>
          <w:rFonts w:ascii="Times New Roman" w:hAnsi="Times New Roman"/>
          <w:sz w:val="24"/>
          <w:szCs w:val="24"/>
        </w:rPr>
        <w:t>.</w:t>
      </w:r>
    </w:p>
    <w:p w14:paraId="5FE0943C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3D" w14:textId="441DE92B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C) Historical Performance</w:t>
      </w:r>
    </w:p>
    <w:p w14:paraId="5FE0943E" w14:textId="77777777" w:rsidR="00157106" w:rsidRPr="00157106" w:rsidRDefault="00157106" w:rsidP="00C81B1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27221EF0" w14:textId="77777777" w:rsidR="00E20401" w:rsidRDefault="00157106" w:rsidP="00C81B18">
      <w:pPr>
        <w:pStyle w:val="BodyTextIndent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Historical performance of the Movable Concrete Barrier will be used in determining future use of the material by the NCDOT, even if the Movable Concrete Barrier has been traffic-qualified.  Poor past or poor current performance of Movable Concrete Barrier at any site, whether or not related to a specific contract may be grounds for non-acceptance of a product on any project under contract.</w:t>
      </w:r>
    </w:p>
    <w:p w14:paraId="067A5C53" w14:textId="77777777" w:rsidR="00E20401" w:rsidRDefault="00E20401" w:rsidP="00C81B18">
      <w:pPr>
        <w:pStyle w:val="BodyTextIndent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E09441" w14:textId="6309B53A" w:rsidR="00157106" w:rsidRPr="00157106" w:rsidRDefault="00157106" w:rsidP="00C81B18">
      <w:pPr>
        <w:pStyle w:val="BodyTextIndent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Construction Methods</w:t>
      </w:r>
    </w:p>
    <w:p w14:paraId="5FE09442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3" w14:textId="13EF44BC" w:rsidR="00157106" w:rsidRPr="00157106" w:rsidRDefault="00505168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E20401">
        <w:rPr>
          <w:rFonts w:ascii="Times New Roman" w:hAnsi="Times New Roman"/>
          <w:sz w:val="24"/>
          <w:szCs w:val="24"/>
        </w:rPr>
        <w:t>General</w:t>
      </w:r>
    </w:p>
    <w:p w14:paraId="5FE09444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5" w14:textId="700E3C23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Section 1105-3 of </w:t>
      </w:r>
      <w:r w:rsidR="001E0EAF">
        <w:rPr>
          <w:rFonts w:ascii="Times New Roman" w:hAnsi="Times New Roman"/>
          <w:sz w:val="24"/>
          <w:szCs w:val="24"/>
        </w:rPr>
        <w:t xml:space="preserve">the </w:t>
      </w:r>
      <w:r w:rsidR="005508DA">
        <w:rPr>
          <w:rFonts w:ascii="Times New Roman" w:hAnsi="Times New Roman"/>
          <w:sz w:val="24"/>
          <w:szCs w:val="24"/>
        </w:rPr>
        <w:t>NCDOT</w:t>
      </w:r>
      <w:r w:rsidRPr="00157106">
        <w:rPr>
          <w:rFonts w:ascii="Times New Roman" w:hAnsi="Times New Roman"/>
          <w:sz w:val="24"/>
          <w:szCs w:val="24"/>
        </w:rPr>
        <w:t xml:space="preserve"> Standard Specification applies to this special provision.    </w:t>
      </w:r>
    </w:p>
    <w:p w14:paraId="5FE09446" w14:textId="77777777" w:rsid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7" w14:textId="237AAFB0" w:rsidR="00157106" w:rsidRPr="00157106" w:rsidRDefault="00E20401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57106" w:rsidRPr="00157106">
        <w:rPr>
          <w:rFonts w:ascii="Times New Roman" w:hAnsi="Times New Roman"/>
          <w:sz w:val="24"/>
          <w:szCs w:val="24"/>
        </w:rPr>
        <w:t>Reset</w:t>
      </w:r>
      <w:r>
        <w:rPr>
          <w:rFonts w:ascii="Times New Roman" w:hAnsi="Times New Roman"/>
          <w:sz w:val="24"/>
          <w:szCs w:val="24"/>
        </w:rPr>
        <w:t>ting Movable Concrete Barrier</w:t>
      </w:r>
    </w:p>
    <w:p w14:paraId="5FE09448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9" w14:textId="77777777" w:rsidR="00157106" w:rsidRPr="00157106" w:rsidRDefault="00157106" w:rsidP="00C81B18">
      <w:pPr>
        <w:tabs>
          <w:tab w:val="left" w:pos="720"/>
          <w:tab w:val="left" w:pos="100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Reset Movable Concrete Barrier entails pin disconnection and longitudinal transfer of the movable concrete barrier. </w:t>
      </w:r>
    </w:p>
    <w:p w14:paraId="5FE0944A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B" w14:textId="451FBCBF" w:rsidR="00157106" w:rsidRPr="00157106" w:rsidRDefault="00505168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E20401">
        <w:rPr>
          <w:rFonts w:ascii="Times New Roman" w:hAnsi="Times New Roman"/>
          <w:sz w:val="24"/>
          <w:szCs w:val="24"/>
        </w:rPr>
        <w:t>Stockpiling</w:t>
      </w:r>
    </w:p>
    <w:p w14:paraId="5FE0944C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D" w14:textId="0B952289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lastRenderedPageBreak/>
        <w:t>Stockpile Movable Concrete Barrier in accordance wit</w:t>
      </w:r>
      <w:r>
        <w:rPr>
          <w:rFonts w:ascii="Times New Roman" w:hAnsi="Times New Roman"/>
          <w:sz w:val="24"/>
          <w:szCs w:val="24"/>
        </w:rPr>
        <w:t xml:space="preserve">h </w:t>
      </w:r>
      <w:r w:rsidRPr="00157106">
        <w:rPr>
          <w:rFonts w:ascii="Times New Roman" w:hAnsi="Times New Roman"/>
          <w:sz w:val="24"/>
          <w:szCs w:val="24"/>
        </w:rPr>
        <w:t>Section 1170-3,</w:t>
      </w:r>
      <w:r w:rsidR="001E0EAF">
        <w:rPr>
          <w:rFonts w:ascii="Times New Roman" w:hAnsi="Times New Roman"/>
          <w:sz w:val="24"/>
          <w:szCs w:val="24"/>
        </w:rPr>
        <w:t xml:space="preserve"> (</w:t>
      </w:r>
      <w:r w:rsidR="005508DA">
        <w:rPr>
          <w:rFonts w:ascii="Times New Roman" w:hAnsi="Times New Roman"/>
          <w:sz w:val="24"/>
          <w:szCs w:val="24"/>
        </w:rPr>
        <w:t>C</w:t>
      </w:r>
      <w:r w:rsidR="001E0EAF">
        <w:rPr>
          <w:rFonts w:ascii="Times New Roman" w:hAnsi="Times New Roman"/>
          <w:sz w:val="24"/>
          <w:szCs w:val="24"/>
        </w:rPr>
        <w:t xml:space="preserve">) of the </w:t>
      </w:r>
      <w:r w:rsidR="005508DA">
        <w:rPr>
          <w:rFonts w:ascii="Times New Roman" w:hAnsi="Times New Roman"/>
          <w:sz w:val="24"/>
          <w:szCs w:val="24"/>
        </w:rPr>
        <w:t xml:space="preserve">NCDOT </w:t>
      </w:r>
      <w:r w:rsidRPr="00157106">
        <w:rPr>
          <w:rFonts w:ascii="Times New Roman" w:hAnsi="Times New Roman"/>
          <w:sz w:val="24"/>
          <w:szCs w:val="24"/>
        </w:rPr>
        <w:t>Standard Specifications.</w:t>
      </w:r>
    </w:p>
    <w:p w14:paraId="5FE0944E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4F" w14:textId="1B907430" w:rsidR="00157106" w:rsidRPr="00157106" w:rsidRDefault="00505168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E20401">
        <w:rPr>
          <w:rFonts w:ascii="Times New Roman" w:hAnsi="Times New Roman"/>
          <w:sz w:val="24"/>
          <w:szCs w:val="24"/>
        </w:rPr>
        <w:t xml:space="preserve"> Barrier Delineators</w:t>
      </w:r>
    </w:p>
    <w:p w14:paraId="5FE09450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1" w14:textId="27BB1B69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Furnish delineators for Movable Concrete Barrier which meet the requirements of Section 1088-2 and Section 1170-3,</w:t>
      </w:r>
      <w:r w:rsidR="001E0EAF">
        <w:rPr>
          <w:rFonts w:ascii="Times New Roman" w:hAnsi="Times New Roman"/>
          <w:sz w:val="24"/>
          <w:szCs w:val="24"/>
        </w:rPr>
        <w:t xml:space="preserve"> </w:t>
      </w:r>
      <w:r w:rsidRPr="00157106">
        <w:rPr>
          <w:rFonts w:ascii="Times New Roman" w:hAnsi="Times New Roman"/>
          <w:sz w:val="24"/>
          <w:szCs w:val="24"/>
        </w:rPr>
        <w:t>(</w:t>
      </w:r>
      <w:r w:rsidR="005508DA">
        <w:rPr>
          <w:rFonts w:ascii="Times New Roman" w:hAnsi="Times New Roman"/>
          <w:sz w:val="24"/>
          <w:szCs w:val="24"/>
        </w:rPr>
        <w:t>D</w:t>
      </w:r>
      <w:r w:rsidRPr="00157106">
        <w:rPr>
          <w:rFonts w:ascii="Times New Roman" w:hAnsi="Times New Roman"/>
          <w:sz w:val="24"/>
          <w:szCs w:val="24"/>
        </w:rPr>
        <w:t xml:space="preserve">) of </w:t>
      </w:r>
      <w:r w:rsidR="001E0EAF">
        <w:rPr>
          <w:rFonts w:ascii="Times New Roman" w:hAnsi="Times New Roman"/>
          <w:sz w:val="24"/>
          <w:szCs w:val="24"/>
        </w:rPr>
        <w:t xml:space="preserve">the </w:t>
      </w:r>
      <w:r w:rsidR="005508DA">
        <w:rPr>
          <w:rFonts w:ascii="Times New Roman" w:hAnsi="Times New Roman"/>
          <w:sz w:val="24"/>
          <w:szCs w:val="24"/>
        </w:rPr>
        <w:t>NCDOT</w:t>
      </w:r>
      <w:r w:rsidRPr="00157106">
        <w:rPr>
          <w:rFonts w:ascii="Times New Roman" w:hAnsi="Times New Roman"/>
          <w:sz w:val="24"/>
          <w:szCs w:val="24"/>
        </w:rPr>
        <w:t xml:space="preserve"> Standard Specifications.</w:t>
      </w:r>
    </w:p>
    <w:p w14:paraId="5FE09452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3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Maintenance</w:t>
      </w:r>
    </w:p>
    <w:p w14:paraId="5FE09454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5" w14:textId="24C5FE9F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Maintain Movable Concr</w:t>
      </w:r>
      <w:r>
        <w:rPr>
          <w:rFonts w:ascii="Times New Roman" w:hAnsi="Times New Roman"/>
          <w:sz w:val="24"/>
          <w:szCs w:val="24"/>
        </w:rPr>
        <w:t xml:space="preserve">ete Barrier in accordance with </w:t>
      </w:r>
      <w:r w:rsidR="0009315A">
        <w:rPr>
          <w:rFonts w:ascii="Times New Roman" w:hAnsi="Times New Roman"/>
          <w:sz w:val="24"/>
          <w:szCs w:val="24"/>
        </w:rPr>
        <w:t>Section 1105-4 of the</w:t>
      </w:r>
      <w:r w:rsidR="005508DA">
        <w:rPr>
          <w:rFonts w:ascii="Times New Roman" w:hAnsi="Times New Roman"/>
          <w:sz w:val="24"/>
          <w:szCs w:val="24"/>
        </w:rPr>
        <w:t xml:space="preserve"> NCDOT </w:t>
      </w:r>
      <w:r w:rsidRPr="00157106">
        <w:rPr>
          <w:rFonts w:ascii="Times New Roman" w:hAnsi="Times New Roman"/>
          <w:sz w:val="24"/>
          <w:szCs w:val="24"/>
        </w:rPr>
        <w:t>Standard Specifications.</w:t>
      </w:r>
    </w:p>
    <w:p w14:paraId="5FE09456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7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 of Measurement</w:t>
      </w:r>
    </w:p>
    <w:p w14:paraId="5FE09458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9" w14:textId="526DBA8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The method of measurem</w:t>
      </w:r>
      <w:r>
        <w:rPr>
          <w:rFonts w:ascii="Times New Roman" w:hAnsi="Times New Roman"/>
          <w:sz w:val="24"/>
          <w:szCs w:val="24"/>
        </w:rPr>
        <w:t xml:space="preserve">ent will be in accordance with </w:t>
      </w:r>
      <w:r w:rsidRPr="00157106">
        <w:rPr>
          <w:rFonts w:ascii="Times New Roman" w:hAnsi="Times New Roman"/>
          <w:sz w:val="24"/>
          <w:szCs w:val="24"/>
        </w:rPr>
        <w:t>Section 1170-4</w:t>
      </w:r>
      <w:r w:rsidR="0009315A">
        <w:rPr>
          <w:rFonts w:ascii="Times New Roman" w:hAnsi="Times New Roman"/>
          <w:sz w:val="24"/>
          <w:szCs w:val="24"/>
        </w:rPr>
        <w:t xml:space="preserve"> of the </w:t>
      </w:r>
      <w:r w:rsidR="005508DA">
        <w:rPr>
          <w:rFonts w:ascii="Times New Roman" w:hAnsi="Times New Roman"/>
          <w:sz w:val="24"/>
          <w:szCs w:val="24"/>
        </w:rPr>
        <w:t>NCDOT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106">
        <w:rPr>
          <w:rFonts w:ascii="Times New Roman" w:hAnsi="Times New Roman"/>
          <w:sz w:val="24"/>
          <w:szCs w:val="24"/>
        </w:rPr>
        <w:t>Standard Specifications.</w:t>
      </w:r>
    </w:p>
    <w:p w14:paraId="5FE0945A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B" w14:textId="77777777" w:rsidR="00157106" w:rsidRPr="00157106" w:rsidRDefault="00157106" w:rsidP="00C81B18">
      <w:pPr>
        <w:tabs>
          <w:tab w:val="left" w:pos="720"/>
          <w:tab w:val="left" w:pos="100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Do not confuse resetting of Movable Concrete Barrier with lateral transfer across roadway which is incidental to the cost of barrier.  </w:t>
      </w:r>
    </w:p>
    <w:p w14:paraId="5FE0945C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D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There will be no measurement made of barrier delineators as they are considered incidental to the other pay items in this special provision.  </w:t>
      </w:r>
    </w:p>
    <w:p w14:paraId="5FE0945E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5F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Basis of Payment</w:t>
      </w:r>
    </w:p>
    <w:p w14:paraId="5FE09460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61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The quantity of Movable Concrete Barrier, measured as provided above, will be paid at the contract unit price</w:t>
      </w:r>
      <w:r w:rsidR="00940098">
        <w:rPr>
          <w:rFonts w:ascii="Times New Roman" w:hAnsi="Times New Roman"/>
          <w:sz w:val="24"/>
          <w:szCs w:val="24"/>
        </w:rPr>
        <w:t xml:space="preserve"> per linear foot </w:t>
      </w:r>
      <w:r w:rsidRPr="00157106">
        <w:rPr>
          <w:rFonts w:ascii="Times New Roman" w:hAnsi="Times New Roman"/>
          <w:sz w:val="24"/>
          <w:szCs w:val="24"/>
        </w:rPr>
        <w:t xml:space="preserve">for “Movable Concrete Barrier”.  </w:t>
      </w:r>
    </w:p>
    <w:p w14:paraId="5FE09462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63" w14:textId="77777777" w:rsidR="00157106" w:rsidRPr="00157106" w:rsidRDefault="00157106" w:rsidP="00C81B18">
      <w:pPr>
        <w:tabs>
          <w:tab w:val="left" w:pos="720"/>
          <w:tab w:val="left" w:pos="100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The quantity of resetting Movable Concrete Barrier, measured as provided above, will be paid at the contract unit price</w:t>
      </w:r>
      <w:r w:rsidR="00940098">
        <w:rPr>
          <w:rFonts w:ascii="Times New Roman" w:hAnsi="Times New Roman"/>
          <w:sz w:val="24"/>
          <w:szCs w:val="24"/>
        </w:rPr>
        <w:t xml:space="preserve"> per linear foot </w:t>
      </w:r>
      <w:r w:rsidRPr="00157106">
        <w:rPr>
          <w:rFonts w:ascii="Times New Roman" w:hAnsi="Times New Roman"/>
          <w:sz w:val="24"/>
          <w:szCs w:val="24"/>
        </w:rPr>
        <w:t xml:space="preserve">for "Reset Movable Concrete Barrier".  </w:t>
      </w:r>
    </w:p>
    <w:p w14:paraId="5FE09464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65" w14:textId="77777777" w:rsidR="00157106" w:rsidRP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There will be no direct payment for barrier delineators as they are considered incidental to the other pay items in this special provision.  </w:t>
      </w:r>
    </w:p>
    <w:p w14:paraId="5FE09466" w14:textId="716C0EC9" w:rsid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67" w14:textId="77777777" w:rsidR="00157106" w:rsidRDefault="00157106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Payment will be made under:</w:t>
      </w:r>
    </w:p>
    <w:p w14:paraId="5FE09468" w14:textId="77777777" w:rsidR="001E0EAF" w:rsidRDefault="001E0EAF" w:rsidP="00C81B18">
      <w:pPr>
        <w:tabs>
          <w:tab w:val="left" w:pos="720"/>
          <w:tab w:val="left" w:pos="273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FE09469" w14:textId="4E966771" w:rsidR="001E0EAF" w:rsidRPr="001E0EAF" w:rsidRDefault="001E0EAF" w:rsidP="00C81B18">
      <w:pPr>
        <w:tabs>
          <w:tab w:val="right" w:pos="936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E0EAF">
        <w:rPr>
          <w:rFonts w:ascii="Times New Roman" w:hAnsi="Times New Roman"/>
          <w:b/>
          <w:sz w:val="24"/>
          <w:szCs w:val="24"/>
        </w:rPr>
        <w:t>Pay Item</w:t>
      </w:r>
      <w:r w:rsidR="00505168">
        <w:rPr>
          <w:rFonts w:ascii="Times New Roman" w:hAnsi="Times New Roman"/>
          <w:b/>
          <w:sz w:val="24"/>
          <w:szCs w:val="24"/>
        </w:rPr>
        <w:tab/>
      </w:r>
      <w:r w:rsidRPr="001E0EAF">
        <w:rPr>
          <w:rFonts w:ascii="Times New Roman" w:hAnsi="Times New Roman"/>
          <w:b/>
          <w:sz w:val="24"/>
          <w:szCs w:val="24"/>
        </w:rPr>
        <w:t>Pay Unit</w:t>
      </w:r>
    </w:p>
    <w:p w14:paraId="5FE0946A" w14:textId="7B0B414C" w:rsidR="00157106" w:rsidRPr="00157106" w:rsidRDefault="00157106" w:rsidP="00C81B18">
      <w:pPr>
        <w:tabs>
          <w:tab w:val="right" w:pos="9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 xml:space="preserve">Movable </w:t>
      </w:r>
      <w:r w:rsidR="00A112A4">
        <w:rPr>
          <w:rFonts w:ascii="Times New Roman" w:hAnsi="Times New Roman"/>
          <w:sz w:val="24"/>
          <w:szCs w:val="24"/>
        </w:rPr>
        <w:t>Concrete Barrier</w:t>
      </w:r>
      <w:r w:rsidR="00505168">
        <w:rPr>
          <w:rFonts w:ascii="Times New Roman" w:hAnsi="Times New Roman"/>
          <w:sz w:val="24"/>
          <w:szCs w:val="24"/>
        </w:rPr>
        <w:tab/>
      </w:r>
      <w:r w:rsidR="001E0EAF">
        <w:rPr>
          <w:rFonts w:ascii="Times New Roman" w:hAnsi="Times New Roman"/>
          <w:sz w:val="24"/>
          <w:szCs w:val="24"/>
        </w:rPr>
        <w:t>Li</w:t>
      </w:r>
      <w:r w:rsidR="00940098">
        <w:rPr>
          <w:rFonts w:ascii="Times New Roman" w:hAnsi="Times New Roman"/>
          <w:sz w:val="24"/>
          <w:szCs w:val="24"/>
        </w:rPr>
        <w:t xml:space="preserve">near Foot </w:t>
      </w:r>
    </w:p>
    <w:p w14:paraId="5FE0946B" w14:textId="413A534B" w:rsidR="00157106" w:rsidRPr="00157106" w:rsidRDefault="00157106" w:rsidP="00C81B18">
      <w:pPr>
        <w:tabs>
          <w:tab w:val="right" w:pos="9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57106">
        <w:rPr>
          <w:rFonts w:ascii="Times New Roman" w:hAnsi="Times New Roman"/>
          <w:sz w:val="24"/>
          <w:szCs w:val="24"/>
        </w:rPr>
        <w:t>Reset Mo</w:t>
      </w:r>
      <w:r w:rsidR="00A112A4">
        <w:rPr>
          <w:rFonts w:ascii="Times New Roman" w:hAnsi="Times New Roman"/>
          <w:sz w:val="24"/>
          <w:szCs w:val="24"/>
        </w:rPr>
        <w:t>vable Concrete Barrier</w:t>
      </w:r>
      <w:r w:rsidR="00505168">
        <w:rPr>
          <w:rFonts w:ascii="Times New Roman" w:hAnsi="Times New Roman"/>
          <w:sz w:val="24"/>
          <w:szCs w:val="24"/>
        </w:rPr>
        <w:tab/>
      </w:r>
      <w:r w:rsidR="00940098">
        <w:rPr>
          <w:rFonts w:ascii="Times New Roman" w:hAnsi="Times New Roman"/>
          <w:sz w:val="24"/>
          <w:szCs w:val="24"/>
        </w:rPr>
        <w:t xml:space="preserve">Linear Foot </w:t>
      </w:r>
    </w:p>
    <w:p w14:paraId="5FE0946C" w14:textId="77777777" w:rsidR="00D1765C" w:rsidRPr="00157106" w:rsidRDefault="00D1765C" w:rsidP="00C81B18">
      <w:pPr>
        <w:jc w:val="both"/>
        <w:rPr>
          <w:rFonts w:ascii="Times New Roman" w:hAnsi="Times New Roman"/>
          <w:sz w:val="24"/>
          <w:szCs w:val="24"/>
        </w:rPr>
      </w:pPr>
    </w:p>
    <w:sectPr w:rsidR="00D1765C" w:rsidRPr="00157106" w:rsidSect="00DB5E3D"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C3C0" w14:textId="77777777" w:rsidR="006D4339" w:rsidRDefault="006D4339" w:rsidP="00157106">
      <w:r>
        <w:separator/>
      </w:r>
    </w:p>
  </w:endnote>
  <w:endnote w:type="continuationSeparator" w:id="0">
    <w:p w14:paraId="01CDC16B" w14:textId="77777777" w:rsidR="006D4339" w:rsidRDefault="006D4339" w:rsidP="0015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9473" w14:textId="722D8E7C" w:rsidR="001C4A02" w:rsidRPr="001C4A02" w:rsidRDefault="001C4A02" w:rsidP="00DB5E3D">
    <w:pPr>
      <w:pStyle w:val="Footer"/>
      <w:tabs>
        <w:tab w:val="left" w:pos="4056"/>
      </w:tabs>
      <w:rPr>
        <w:rFonts w:ascii="Times New Roman" w:hAnsi="Times New Roman" w:cs="Times New Roman"/>
        <w:sz w:val="20"/>
        <w:szCs w:val="20"/>
      </w:rPr>
    </w:pPr>
  </w:p>
  <w:p w14:paraId="5FE09474" w14:textId="77777777" w:rsidR="001C4A02" w:rsidRDefault="001C4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C463" w14:textId="77777777" w:rsidR="006D4339" w:rsidRDefault="006D4339" w:rsidP="00157106">
      <w:r>
        <w:separator/>
      </w:r>
    </w:p>
  </w:footnote>
  <w:footnote w:type="continuationSeparator" w:id="0">
    <w:p w14:paraId="652435E1" w14:textId="77777777" w:rsidR="006D4339" w:rsidRDefault="006D4339" w:rsidP="0015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6"/>
    <w:rsid w:val="00084D60"/>
    <w:rsid w:val="0009315A"/>
    <w:rsid w:val="000E68C8"/>
    <w:rsid w:val="00107D14"/>
    <w:rsid w:val="00157106"/>
    <w:rsid w:val="001C4A02"/>
    <w:rsid w:val="001E0EAF"/>
    <w:rsid w:val="0025745A"/>
    <w:rsid w:val="00287F11"/>
    <w:rsid w:val="002C70FF"/>
    <w:rsid w:val="00307268"/>
    <w:rsid w:val="003935FC"/>
    <w:rsid w:val="0046350D"/>
    <w:rsid w:val="00505168"/>
    <w:rsid w:val="005307FE"/>
    <w:rsid w:val="005508DA"/>
    <w:rsid w:val="005762ED"/>
    <w:rsid w:val="00584D27"/>
    <w:rsid w:val="006D4339"/>
    <w:rsid w:val="006E63DD"/>
    <w:rsid w:val="00940098"/>
    <w:rsid w:val="00A112A4"/>
    <w:rsid w:val="00AA1427"/>
    <w:rsid w:val="00B12B94"/>
    <w:rsid w:val="00B70413"/>
    <w:rsid w:val="00BE3AD0"/>
    <w:rsid w:val="00C81B18"/>
    <w:rsid w:val="00D1765C"/>
    <w:rsid w:val="00D26639"/>
    <w:rsid w:val="00DB5E3D"/>
    <w:rsid w:val="00E20401"/>
    <w:rsid w:val="00E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E09429"/>
  <w15:docId w15:val="{D196E006-0C30-4B55-B0FB-AF60605E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06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1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7106"/>
  </w:style>
  <w:style w:type="paragraph" w:styleId="Footer">
    <w:name w:val="footer"/>
    <w:basedOn w:val="Normal"/>
    <w:link w:val="FooterChar"/>
    <w:uiPriority w:val="99"/>
    <w:unhideWhenUsed/>
    <w:rsid w:val="001571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7106"/>
  </w:style>
  <w:style w:type="paragraph" w:styleId="BalloonText">
    <w:name w:val="Balloon Text"/>
    <w:basedOn w:val="Normal"/>
    <w:link w:val="BalloonTextChar"/>
    <w:uiPriority w:val="99"/>
    <w:semiHidden/>
    <w:unhideWhenUsed/>
    <w:rsid w:val="001571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0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57106"/>
    <w:pPr>
      <w:spacing w:after="120"/>
      <w:ind w:firstLine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57106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E3AD0"/>
    <w:pPr>
      <w:jc w:val="center"/>
    </w:pPr>
    <w:rPr>
      <w:rFonts w:ascii="Times New Roman" w:hAnsi="Times New Roman"/>
      <w:sz w:val="24"/>
    </w:rPr>
  </w:style>
  <w:style w:type="character" w:customStyle="1" w:styleId="TitleChar">
    <w:name w:val="Title Char"/>
    <w:basedOn w:val="DefaultParagraphFont"/>
    <w:link w:val="Title"/>
    <w:rsid w:val="00BE3A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Other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24</Order0>
    <_dlc_DocId xmlns="16f00c2e-ac5c-418b-9f13-a0771dbd417d">CONNECT-238-246</_dlc_DocId>
    <_dlc_DocIdUrl xmlns="16f00c2e-ac5c-418b-9f13-a0771dbd417d">
      <Url>https://connect.ncdot.gov/projects/WZTC/_layouts/15/DocIdRedir.aspx?ID=CONNECT-238-246</Url>
      <Description>CONNECT-238-246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11913E-43AA-4D87-8FC9-4ADC7C90E7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F34A13-FCD5-4DE7-866D-0CD26B571245}"/>
</file>

<file path=customXml/itemProps3.xml><?xml version="1.0" encoding="utf-8"?>
<ds:datastoreItem xmlns:ds="http://schemas.openxmlformats.org/officeDocument/2006/customXml" ds:itemID="{429FD60D-FEDA-4EBF-B07D-30711E2F372B}">
  <ds:schemaRefs>
    <ds:schemaRef ds:uri="http://schemas.microsoft.com/office/2006/metadata/properties"/>
    <ds:schemaRef ds:uri="http://schemas.microsoft.com/office/infopath/2007/PartnerControls"/>
    <ds:schemaRef ds:uri="725b9b1f-91c5-4804-815f-3b5f0ffb0426"/>
    <ds:schemaRef ds:uri="084f7c45-40c1-4552-b9db-b0297b44ff26"/>
    <ds:schemaRef ds:uri="16f00c2e-ac5c-418b-9f13-a0771dbd417d"/>
    <ds:schemaRef ds:uri="a1723daa-cf87-4507-994d-e2a7228cc2d2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B5F2A2-FC3B-4301-A700-DC5027C9CF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0741F6-DE0D-434A-AF2E-7129AD92666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CE83397-940C-47E7-9DB1-C2DEB0807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Moveable Concrete Barrier</dc:title>
  <dc:creator>Michael S. Burns</dc:creator>
  <cp:lastModifiedBy>Karmen Dais</cp:lastModifiedBy>
  <cp:revision>8</cp:revision>
  <dcterms:created xsi:type="dcterms:W3CDTF">2017-05-23T14:35:00Z</dcterms:created>
  <dcterms:modified xsi:type="dcterms:W3CDTF">2023-10-16T19:19:00Z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1">
    <vt:lpwstr>;#Employee;#</vt:lpwstr>
  </property>
  <property fmtid="{D5CDD505-2E9C-101B-9397-08002B2CF9AE}" pid="3" name="_dlc_DocIdItemGuid">
    <vt:lpwstr>7c80ee9b-801b-4dcf-a14f-8426dc8fc4dd</vt:lpwstr>
  </property>
  <property fmtid="{D5CDD505-2E9C-101B-9397-08002B2CF9AE}" pid="4" name="ContentTypeId">
    <vt:lpwstr>0x010100E83FB5A906245648A4FA70A970C4D2FD</vt:lpwstr>
  </property>
  <property fmtid="{D5CDD505-2E9C-101B-9397-08002B2CF9AE}" pid="5" name="HeaderStyleDefinitions">
    <vt:lpwstr/>
  </property>
  <property fmtid="{D5CDD505-2E9C-101B-9397-08002B2CF9AE}" pid="6" name="da523fd3740241199a34d402e63771f7">
    <vt:lpwstr>Unrestricted|636b637e-5f92-4725-a3a5-7ffa269098d1</vt:lpwstr>
  </property>
  <property fmtid="{D5CDD505-2E9C-101B-9397-08002B2CF9AE}" pid="7" name="Business Content Type">
    <vt:lpwstr>16;#Engineering Provisions|6075a076-fad4-4f47-a3b0-157c2d5fb341</vt:lpwstr>
  </property>
  <property fmtid="{D5CDD505-2E9C-101B-9397-08002B2CF9AE}" pid="8" name="p9e26a8c28404ce9b38fa889d42538da">
    <vt:lpwstr>Engineering Provisions|6075a076-fad4-4f47-a3b0-157c2d5fb341</vt:lpwstr>
  </property>
  <property fmtid="{D5CDD505-2E9C-101B-9397-08002B2CF9AE}" pid="9" name="TaxCatchAll">
    <vt:lpwstr>16;#Engineering Provisions|6075a076-fad4-4f47-a3b0-157c2d5fb341;#3;#Unrestricted|636b637e-5f92-4725-a3a5-7ffa269098d1</vt:lpwstr>
  </property>
  <property fmtid="{D5CDD505-2E9C-101B-9397-08002B2CF9AE}" pid="10" name="Data_x0020_Security_x0020_Classification">
    <vt:lpwstr>3;#Unrestricted|636b637e-5f92-4725-a3a5-7ffa269098d1</vt:lpwstr>
  </property>
  <property fmtid="{D5CDD505-2E9C-101B-9397-08002B2CF9AE}" pid="11" name="Data Security Classification">
    <vt:lpwstr>3;#Unrestricted|636b637e-5f92-4725-a3a5-7ffa269098d1</vt:lpwstr>
  </property>
  <property fmtid="{D5CDD505-2E9C-101B-9397-08002B2CF9AE}" pid="12" name="Order">
    <vt:r8>24600</vt:r8>
  </property>
</Properties>
</file>