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2486C" w:rsidR="00C2486C" w:rsidP="380D4D3E" w:rsidRDefault="6A53A10F" w14:paraId="33FA34AF" w14:textId="3615B8D7">
      <w:pPr>
        <w:jc w:val="center"/>
        <w:rPr>
          <w:b/>
          <w:bCs/>
          <w:sz w:val="28"/>
          <w:szCs w:val="28"/>
        </w:rPr>
      </w:pPr>
      <w:r w:rsidRPr="380D4D3E">
        <w:rPr>
          <w:b/>
          <w:bCs/>
        </w:rPr>
        <w:t xml:space="preserve">Sample Merger Packet:  </w:t>
      </w:r>
    </w:p>
    <w:p w:rsidRPr="00C2486C" w:rsidR="00C2486C" w:rsidP="00C2486C" w:rsidRDefault="00C2486C" w14:paraId="20C3F6F7" w14:textId="77777777">
      <w:pPr>
        <w:jc w:val="center"/>
        <w:rPr>
          <w:b/>
          <w:sz w:val="28"/>
          <w:szCs w:val="28"/>
        </w:rPr>
      </w:pPr>
      <w:r w:rsidRPr="00C2486C">
        <w:rPr>
          <w:b/>
          <w:sz w:val="28"/>
          <w:szCs w:val="28"/>
        </w:rPr>
        <w:t xml:space="preserve">CP 1, Purpose and Need and Study Area Defined </w:t>
      </w:r>
    </w:p>
    <w:p w:rsidR="007E422B" w:rsidP="00C2486C" w:rsidRDefault="00C2486C" w14:paraId="18E62FF5" w14:textId="77777777">
      <w:pPr>
        <w:jc w:val="center"/>
        <w:rPr>
          <w:b/>
          <w:sz w:val="28"/>
          <w:szCs w:val="28"/>
        </w:rPr>
      </w:pPr>
      <w:r w:rsidRPr="380D4D3E">
        <w:rPr>
          <w:b/>
          <w:bCs/>
          <w:sz w:val="28"/>
          <w:szCs w:val="28"/>
        </w:rPr>
        <w:t>“Simple” Widening Project with Competing Resources</w:t>
      </w:r>
    </w:p>
    <w:p w:rsidR="7B5E9912" w:rsidP="380D4D3E" w:rsidRDefault="7B5E9912" w14:paraId="236F8554" w14:textId="68CE29DB">
      <w:pPr>
        <w:pStyle w:val="Title"/>
        <w:tabs>
          <w:tab w:val="left" w:pos="630"/>
        </w:tabs>
        <w:spacing w:before="120" w:line="288" w:lineRule="auto"/>
        <w:ind w:right="90"/>
        <w:jc w:val="both"/>
        <w:rPr>
          <w:rFonts w:ascii="Calibri" w:hAnsi="Calibri" w:eastAsia="Calibri" w:cs="Calibri"/>
          <w:color w:val="000000" w:themeColor="text1"/>
          <w:sz w:val="22"/>
          <w:szCs w:val="22"/>
        </w:rPr>
      </w:pPr>
      <w:r w:rsidRPr="380D4D3E">
        <w:rPr>
          <w:rFonts w:ascii="Calibri" w:hAnsi="Calibri" w:eastAsia="Calibri" w:cs="Calibri"/>
          <w:color w:val="000000" w:themeColor="text1"/>
          <w:sz w:val="22"/>
          <w:szCs w:val="22"/>
        </w:rPr>
        <w:t>INSTRUCTION SHEET – DELETE THIS PAGE BEFORE FINALIZING THE PACKET</w:t>
      </w:r>
    </w:p>
    <w:p w:rsidR="7B5E9912" w:rsidP="380D4D3E" w:rsidRDefault="7B5E9912" w14:paraId="284232DF" w14:textId="555B569C">
      <w:pPr>
        <w:pStyle w:val="Title"/>
        <w:tabs>
          <w:tab w:val="left" w:pos="630"/>
        </w:tabs>
        <w:spacing w:before="120" w:line="288" w:lineRule="auto"/>
        <w:ind w:right="90"/>
        <w:jc w:val="both"/>
        <w:rPr>
          <w:rFonts w:ascii="Calibri" w:hAnsi="Calibri" w:eastAsia="Calibri" w:cs="Calibri"/>
          <w:color w:val="000000" w:themeColor="text1"/>
          <w:sz w:val="22"/>
          <w:szCs w:val="22"/>
        </w:rPr>
      </w:pPr>
      <w:r w:rsidRPr="380D4D3E">
        <w:rPr>
          <w:rFonts w:ascii="Calibri" w:hAnsi="Calibri" w:eastAsia="Calibri" w:cs="Calibri"/>
          <w:color w:val="000000" w:themeColor="text1"/>
          <w:sz w:val="22"/>
          <w:szCs w:val="22"/>
        </w:rPr>
        <w:t>This CP</w:t>
      </w:r>
      <w:r w:rsidRPr="380D4D3E" w:rsidR="799CBCF2">
        <w:rPr>
          <w:rFonts w:ascii="Calibri" w:hAnsi="Calibri" w:eastAsia="Calibri" w:cs="Calibri"/>
          <w:color w:val="000000" w:themeColor="text1"/>
          <w:sz w:val="22"/>
          <w:szCs w:val="22"/>
        </w:rPr>
        <w:t>1</w:t>
      </w:r>
      <w:r w:rsidRPr="380D4D3E">
        <w:rPr>
          <w:rFonts w:ascii="Calibri" w:hAnsi="Calibri" w:eastAsia="Calibri" w:cs="Calibri"/>
          <w:color w:val="000000" w:themeColor="text1"/>
          <w:sz w:val="22"/>
          <w:szCs w:val="22"/>
        </w:rPr>
        <w:t xml:space="preserve"> Merger Packet Example and Guidance is to be used for all projects in Merger.</w:t>
      </w:r>
    </w:p>
    <w:p w:rsidR="380D4D3E" w:rsidP="380D4D3E" w:rsidRDefault="380D4D3E" w14:paraId="1291E35C" w14:textId="4AB839BA">
      <w:pPr>
        <w:tabs>
          <w:tab w:val="left" w:pos="630"/>
          <w:tab w:val="left" w:pos="990"/>
        </w:tabs>
        <w:spacing w:before="120" w:line="288" w:lineRule="auto"/>
        <w:ind w:right="90"/>
        <w:jc w:val="both"/>
        <w:rPr>
          <w:rFonts w:ascii="Calibri" w:hAnsi="Calibri" w:eastAsia="Calibri" w:cs="Calibri"/>
          <w:color w:val="000000" w:themeColor="text1"/>
        </w:rPr>
      </w:pPr>
    </w:p>
    <w:p w:rsidR="7B5E9912" w:rsidP="380D4D3E" w:rsidRDefault="7B5E9912" w14:paraId="5F7F49F9" w14:textId="10DFF53B">
      <w:pPr>
        <w:pStyle w:val="Title"/>
        <w:tabs>
          <w:tab w:val="left" w:pos="630"/>
          <w:tab w:val="left" w:pos="990"/>
        </w:tabs>
        <w:spacing w:before="120" w:line="288" w:lineRule="auto"/>
        <w:ind w:right="90"/>
        <w:jc w:val="both"/>
        <w:rPr>
          <w:rFonts w:ascii="Calibri" w:hAnsi="Calibri" w:eastAsia="Calibri" w:cs="Calibri"/>
          <w:color w:val="000000" w:themeColor="text1"/>
          <w:sz w:val="22"/>
          <w:szCs w:val="22"/>
        </w:rPr>
      </w:pPr>
      <w:r w:rsidRPr="72BA4711" w:rsidR="7B5E9912">
        <w:rPr>
          <w:rFonts w:ascii="Calibri" w:hAnsi="Calibri" w:eastAsia="Calibri" w:cs="Calibri"/>
          <w:color w:val="000000" w:themeColor="text1" w:themeTint="FF" w:themeShade="FF"/>
          <w:sz w:val="22"/>
          <w:szCs w:val="22"/>
        </w:rPr>
        <w:t>This instruction sheet is intended to assist the writer and should not be included with the CP</w:t>
      </w:r>
      <w:r w:rsidRPr="72BA4711" w:rsidR="63DA5A10">
        <w:rPr>
          <w:rFonts w:ascii="Calibri" w:hAnsi="Calibri" w:eastAsia="Calibri" w:cs="Calibri"/>
          <w:color w:val="000000" w:themeColor="text1" w:themeTint="FF" w:themeShade="FF"/>
          <w:sz w:val="22"/>
          <w:szCs w:val="22"/>
        </w:rPr>
        <w:t>1</w:t>
      </w:r>
      <w:r w:rsidRPr="72BA4711" w:rsidR="7B5E9912">
        <w:rPr>
          <w:rFonts w:ascii="Calibri" w:hAnsi="Calibri" w:eastAsia="Calibri" w:cs="Calibri"/>
          <w:color w:val="000000" w:themeColor="text1" w:themeTint="FF" w:themeShade="FF"/>
          <w:sz w:val="22"/>
          <w:szCs w:val="22"/>
        </w:rPr>
        <w:t xml:space="preserve"> Merger Packet submittal.  For additional information please see the </w:t>
      </w:r>
      <w:hyperlink w:anchor="page=42" r:id="R614f4487a2c34348">
        <w:r w:rsidRPr="72BA4711" w:rsidR="00EC10BC">
          <w:rPr>
            <w:rStyle w:val="Hyperlink"/>
            <w:rFonts w:ascii="Calibri" w:hAnsi="Calibri" w:eastAsia="Calibri" w:cs="Calibri"/>
            <w:sz w:val="22"/>
            <w:szCs w:val="22"/>
          </w:rPr>
          <w:t xml:space="preserve">CP 1 </w:t>
        </w:r>
        <w:r w:rsidRPr="72BA4711" w:rsidR="7B5E9912">
          <w:rPr>
            <w:rStyle w:val="Hyperlink"/>
            <w:rFonts w:ascii="Calibri" w:hAnsi="Calibri" w:eastAsia="Calibri" w:cs="Calibri"/>
            <w:sz w:val="22"/>
            <w:szCs w:val="22"/>
          </w:rPr>
          <w:t>Guidance</w:t>
        </w:r>
      </w:hyperlink>
      <w:r w:rsidRPr="72BA4711" w:rsidR="7B5E9912">
        <w:rPr>
          <w:rFonts w:ascii="Calibri" w:hAnsi="Calibri" w:eastAsia="Calibri" w:cs="Calibri"/>
          <w:color w:val="000000" w:themeColor="text1" w:themeTint="FF" w:themeShade="FF"/>
          <w:sz w:val="22"/>
          <w:szCs w:val="22"/>
        </w:rPr>
        <w:t>.</w:t>
      </w:r>
    </w:p>
    <w:p w:rsidR="380D4D3E" w:rsidP="380D4D3E" w:rsidRDefault="380D4D3E" w14:paraId="5DE52E18" w14:textId="07724D0C">
      <w:pPr>
        <w:tabs>
          <w:tab w:val="left" w:pos="630"/>
          <w:tab w:val="left" w:pos="990"/>
        </w:tabs>
        <w:spacing w:before="120" w:line="288" w:lineRule="auto"/>
        <w:ind w:right="90"/>
        <w:jc w:val="both"/>
        <w:rPr>
          <w:rFonts w:ascii="Calibri" w:hAnsi="Calibri" w:eastAsia="Calibri" w:cs="Calibri"/>
          <w:color w:val="000000" w:themeColor="text1"/>
        </w:rPr>
      </w:pPr>
    </w:p>
    <w:p w:rsidR="7B5E9912" w:rsidP="380D4D3E" w:rsidRDefault="7B5E9912" w14:paraId="7C8596DB" w14:textId="76A9E086">
      <w:pPr>
        <w:pStyle w:val="Title"/>
        <w:tabs>
          <w:tab w:val="left" w:pos="630"/>
          <w:tab w:val="left" w:pos="990"/>
        </w:tabs>
        <w:spacing w:before="120" w:line="288" w:lineRule="auto"/>
        <w:ind w:right="90"/>
        <w:jc w:val="both"/>
        <w:rPr>
          <w:rFonts w:ascii="Calibri" w:hAnsi="Calibri" w:eastAsia="Calibri" w:cs="Calibri"/>
          <w:color w:val="000000" w:themeColor="text1"/>
          <w:sz w:val="22"/>
          <w:szCs w:val="22"/>
        </w:rPr>
      </w:pPr>
      <w:r w:rsidRPr="380D4D3E">
        <w:rPr>
          <w:rFonts w:ascii="Calibri" w:hAnsi="Calibri" w:eastAsia="Calibri" w:cs="Calibri"/>
          <w:b/>
          <w:bCs/>
          <w:color w:val="000000" w:themeColor="text1"/>
          <w:sz w:val="22"/>
          <w:szCs w:val="22"/>
        </w:rPr>
        <w:t>Hidden Text/Guidance</w:t>
      </w:r>
    </w:p>
    <w:p w:rsidR="7B5E9912" w:rsidP="380D4D3E" w:rsidRDefault="7B5E9912" w14:paraId="41E8B521" w14:textId="4A2A8FF5">
      <w:pPr>
        <w:pStyle w:val="Title"/>
        <w:tabs>
          <w:tab w:val="left" w:pos="630"/>
          <w:tab w:val="left" w:pos="990"/>
        </w:tabs>
        <w:spacing w:before="120" w:line="288" w:lineRule="auto"/>
        <w:ind w:right="90"/>
        <w:jc w:val="both"/>
        <w:rPr>
          <w:rFonts w:ascii="Calibri" w:hAnsi="Calibri" w:eastAsia="Calibri" w:cs="Calibri"/>
          <w:color w:val="000000" w:themeColor="text1"/>
          <w:sz w:val="22"/>
          <w:szCs w:val="22"/>
        </w:rPr>
      </w:pPr>
      <w:r w:rsidRPr="380D4D3E">
        <w:rPr>
          <w:rFonts w:ascii="Calibri" w:hAnsi="Calibri" w:eastAsia="Calibri" w:cs="Calibri"/>
          <w:color w:val="000000" w:themeColor="text1"/>
          <w:sz w:val="22"/>
          <w:szCs w:val="22"/>
        </w:rPr>
        <w:t>This document uses the “Hidden Text” feature of Microsoft Word to assist the writer in in the creation of a CP</w:t>
      </w:r>
      <w:r w:rsidRPr="380D4D3E" w:rsidR="1F25DF9B">
        <w:rPr>
          <w:rFonts w:ascii="Calibri" w:hAnsi="Calibri" w:eastAsia="Calibri" w:cs="Calibri"/>
          <w:color w:val="000000" w:themeColor="text1"/>
          <w:sz w:val="22"/>
          <w:szCs w:val="22"/>
        </w:rPr>
        <w:t>1</w:t>
      </w:r>
      <w:r w:rsidRPr="380D4D3E">
        <w:rPr>
          <w:rFonts w:ascii="Calibri" w:hAnsi="Calibri" w:eastAsia="Calibri" w:cs="Calibri"/>
          <w:color w:val="000000" w:themeColor="text1"/>
          <w:sz w:val="22"/>
          <w:szCs w:val="22"/>
        </w:rPr>
        <w:t xml:space="preserve"> Merger Packet.  Hidden text can be enabled and disabled by going to File &gt; Options &gt; Display and then check/uncheck Hidden text.  It is highly recommended you enable the guidance text if this your first time working in this document.</w:t>
      </w:r>
    </w:p>
    <w:p w:rsidR="380D4D3E" w:rsidP="380D4D3E" w:rsidRDefault="380D4D3E" w14:paraId="1A96F44A" w14:textId="5BFF6A75">
      <w:pPr>
        <w:tabs>
          <w:tab w:val="left" w:pos="630"/>
          <w:tab w:val="left" w:pos="990"/>
        </w:tabs>
        <w:spacing w:before="120" w:line="288" w:lineRule="auto"/>
        <w:ind w:right="90"/>
        <w:jc w:val="both"/>
        <w:rPr>
          <w:rFonts w:ascii="Calibri" w:hAnsi="Calibri" w:eastAsia="Calibri" w:cs="Calibri"/>
          <w:color w:val="000000" w:themeColor="text1"/>
        </w:rPr>
      </w:pPr>
    </w:p>
    <w:p w:rsidR="7B5E9912" w:rsidP="380D4D3E" w:rsidRDefault="7B5E9912" w14:paraId="51295EB3" w14:textId="1758D0C2">
      <w:pPr>
        <w:pStyle w:val="Title"/>
        <w:tabs>
          <w:tab w:val="left" w:pos="630"/>
          <w:tab w:val="left" w:pos="990"/>
        </w:tabs>
        <w:spacing w:before="120" w:line="288" w:lineRule="auto"/>
        <w:ind w:right="90"/>
        <w:jc w:val="both"/>
        <w:rPr>
          <w:rFonts w:ascii="Calibri" w:hAnsi="Calibri" w:eastAsia="Calibri" w:cs="Calibri"/>
          <w:color w:val="000000" w:themeColor="text1"/>
          <w:sz w:val="22"/>
          <w:szCs w:val="22"/>
        </w:rPr>
      </w:pPr>
      <w:r w:rsidRPr="380D4D3E">
        <w:rPr>
          <w:rFonts w:ascii="Calibri" w:hAnsi="Calibri" w:eastAsia="Calibri" w:cs="Calibri"/>
          <w:color w:val="000000" w:themeColor="text1"/>
          <w:sz w:val="22"/>
          <w:szCs w:val="22"/>
        </w:rPr>
        <w:t xml:space="preserve">The </w:t>
      </w:r>
      <w:r w:rsidRPr="380D4D3E">
        <w:rPr>
          <w:rFonts w:ascii="Calibri Light" w:hAnsi="Calibri Light" w:eastAsia="Calibri Light" w:cs="Calibri Light"/>
          <w:color w:val="7030A0"/>
          <w:sz w:val="22"/>
          <w:szCs w:val="22"/>
        </w:rPr>
        <w:t>purple hidden text</w:t>
      </w:r>
      <w:r w:rsidRPr="380D4D3E">
        <w:rPr>
          <w:rFonts w:ascii="Calibri" w:hAnsi="Calibri" w:eastAsia="Calibri" w:cs="Calibri"/>
          <w:color w:val="7030A0"/>
          <w:sz w:val="22"/>
          <w:szCs w:val="22"/>
        </w:rPr>
        <w:t xml:space="preserve"> </w:t>
      </w:r>
      <w:r w:rsidRPr="380D4D3E">
        <w:rPr>
          <w:rFonts w:ascii="Calibri" w:hAnsi="Calibri" w:eastAsia="Calibri" w:cs="Calibri"/>
          <w:color w:val="000000" w:themeColor="text1"/>
          <w:sz w:val="22"/>
          <w:szCs w:val="22"/>
        </w:rPr>
        <w:t xml:space="preserve">explains the type of information needed.  </w:t>
      </w:r>
    </w:p>
    <w:p w:rsidR="7B5E9912" w:rsidP="380D4D3E" w:rsidRDefault="7B5E9912" w14:paraId="1D93F689" w14:textId="38ED1059">
      <w:pPr>
        <w:pStyle w:val="Title"/>
        <w:tabs>
          <w:tab w:val="left" w:pos="630"/>
          <w:tab w:val="left" w:pos="990"/>
        </w:tabs>
        <w:spacing w:before="120" w:line="288" w:lineRule="auto"/>
        <w:ind w:right="90"/>
        <w:jc w:val="both"/>
        <w:rPr>
          <w:rFonts w:ascii="Calibri" w:hAnsi="Calibri" w:eastAsia="Calibri" w:cs="Calibri"/>
          <w:color w:val="000000" w:themeColor="text1"/>
          <w:sz w:val="22"/>
          <w:szCs w:val="22"/>
        </w:rPr>
      </w:pPr>
      <w:r w:rsidRPr="380D4D3E">
        <w:rPr>
          <w:rFonts w:ascii="Calibri" w:hAnsi="Calibri" w:eastAsia="Calibri" w:cs="Calibri"/>
          <w:color w:val="000000" w:themeColor="text1"/>
          <w:sz w:val="22"/>
          <w:szCs w:val="22"/>
        </w:rPr>
        <w:t xml:space="preserve">The red </w:t>
      </w:r>
      <w:r w:rsidRPr="380D4D3E">
        <w:rPr>
          <w:rFonts w:ascii="Calibri" w:hAnsi="Calibri" w:eastAsia="Calibri" w:cs="Calibri"/>
          <w:color w:val="FF0000"/>
          <w:sz w:val="22"/>
          <w:szCs w:val="22"/>
        </w:rPr>
        <w:t>Example Text</w:t>
      </w:r>
      <w:r w:rsidRPr="380D4D3E">
        <w:rPr>
          <w:rFonts w:ascii="Calibri" w:hAnsi="Calibri" w:eastAsia="Calibri" w:cs="Calibri"/>
          <w:color w:val="000000" w:themeColor="text1"/>
          <w:sz w:val="22"/>
          <w:szCs w:val="22"/>
        </w:rPr>
        <w:t xml:space="preserve"> sections provide example language.  This language is not intended to be copied and pasted exactly as stated and should be modified to change the specifics as it pertains to your project.  </w:t>
      </w:r>
    </w:p>
    <w:p w:rsidR="7B5E9912" w:rsidP="380D4D3E" w:rsidRDefault="7B5E9912" w14:paraId="25F39BA9" w14:textId="09FEF1A6">
      <w:pPr>
        <w:pStyle w:val="Title"/>
        <w:tabs>
          <w:tab w:val="left" w:pos="630"/>
          <w:tab w:val="left" w:pos="990"/>
        </w:tabs>
        <w:spacing w:before="120" w:line="288" w:lineRule="auto"/>
        <w:ind w:right="90"/>
        <w:jc w:val="both"/>
        <w:rPr>
          <w:rFonts w:ascii="Calibri" w:hAnsi="Calibri" w:eastAsia="Calibri" w:cs="Calibri"/>
          <w:color w:val="000000" w:themeColor="text1"/>
          <w:sz w:val="22"/>
          <w:szCs w:val="22"/>
        </w:rPr>
      </w:pPr>
      <w:r w:rsidRPr="380D4D3E">
        <w:rPr>
          <w:rFonts w:ascii="Calibri" w:hAnsi="Calibri" w:eastAsia="Calibri" w:cs="Calibri"/>
          <w:color w:val="000000" w:themeColor="text1"/>
          <w:sz w:val="22"/>
          <w:szCs w:val="22"/>
        </w:rPr>
        <w:t xml:space="preserve">The </w:t>
      </w:r>
      <w:r w:rsidRPr="380D4D3E">
        <w:rPr>
          <w:rFonts w:ascii="Calibri" w:hAnsi="Calibri" w:eastAsia="Calibri" w:cs="Calibri"/>
          <w:color w:val="0070C0"/>
          <w:sz w:val="22"/>
          <w:szCs w:val="22"/>
        </w:rPr>
        <w:t xml:space="preserve">blue text </w:t>
      </w:r>
      <w:r w:rsidRPr="380D4D3E">
        <w:rPr>
          <w:rFonts w:ascii="Calibri" w:hAnsi="Calibri" w:eastAsia="Calibri" w:cs="Calibri"/>
          <w:color w:val="000000" w:themeColor="text1"/>
          <w:sz w:val="22"/>
          <w:szCs w:val="22"/>
        </w:rPr>
        <w:t>are hyperlinks to guidance.</w:t>
      </w:r>
    </w:p>
    <w:p w:rsidR="380D4D3E" w:rsidP="380D4D3E" w:rsidRDefault="380D4D3E" w14:paraId="505C44F4" w14:textId="2686FD26">
      <w:pPr>
        <w:tabs>
          <w:tab w:val="left" w:pos="630"/>
          <w:tab w:val="left" w:pos="990"/>
        </w:tabs>
        <w:spacing w:before="120" w:line="288" w:lineRule="auto"/>
        <w:ind w:right="90"/>
        <w:jc w:val="both"/>
        <w:rPr>
          <w:rFonts w:ascii="Calibri" w:hAnsi="Calibri" w:eastAsia="Calibri" w:cs="Calibri"/>
          <w:color w:val="000000" w:themeColor="text1"/>
        </w:rPr>
      </w:pPr>
    </w:p>
    <w:p w:rsidR="7B5E9912" w:rsidP="380D4D3E" w:rsidRDefault="7B5E9912" w14:paraId="147A7383" w14:textId="40204416">
      <w:pPr>
        <w:pStyle w:val="Title"/>
        <w:tabs>
          <w:tab w:val="left" w:pos="630"/>
          <w:tab w:val="left" w:pos="990"/>
        </w:tabs>
        <w:spacing w:before="120" w:line="288" w:lineRule="auto"/>
        <w:ind w:right="90"/>
        <w:jc w:val="both"/>
        <w:rPr>
          <w:rFonts w:ascii="Calibri" w:hAnsi="Calibri" w:eastAsia="Calibri" w:cs="Calibri"/>
          <w:color w:val="000000" w:themeColor="text1"/>
          <w:sz w:val="22"/>
          <w:szCs w:val="22"/>
        </w:rPr>
      </w:pPr>
      <w:r w:rsidRPr="380D4D3E">
        <w:rPr>
          <w:rFonts w:ascii="Calibri" w:hAnsi="Calibri" w:eastAsia="Calibri" w:cs="Calibri"/>
          <w:b/>
          <w:bCs/>
          <w:color w:val="000000" w:themeColor="text1"/>
          <w:sz w:val="22"/>
          <w:szCs w:val="22"/>
        </w:rPr>
        <w:t>Format</w:t>
      </w:r>
    </w:p>
    <w:p w:rsidR="7B5E9912" w:rsidP="380D4D3E" w:rsidRDefault="7B5E9912" w14:paraId="06397E80" w14:textId="73F149E8">
      <w:pPr>
        <w:pStyle w:val="Title"/>
        <w:tabs>
          <w:tab w:val="left" w:pos="630"/>
          <w:tab w:val="left" w:pos="990"/>
        </w:tabs>
        <w:spacing w:before="120" w:line="288" w:lineRule="auto"/>
        <w:ind w:right="90"/>
        <w:jc w:val="both"/>
        <w:rPr>
          <w:rFonts w:ascii="Calibri" w:hAnsi="Calibri" w:eastAsia="Calibri" w:cs="Calibri"/>
          <w:color w:val="000000" w:themeColor="text1"/>
          <w:sz w:val="22"/>
          <w:szCs w:val="22"/>
        </w:rPr>
      </w:pPr>
      <w:r w:rsidRPr="380D4D3E">
        <w:rPr>
          <w:rFonts w:ascii="Calibri" w:hAnsi="Calibri" w:eastAsia="Calibri" w:cs="Calibri"/>
          <w:color w:val="000000" w:themeColor="text1"/>
          <w:sz w:val="22"/>
          <w:szCs w:val="22"/>
        </w:rPr>
        <w:t>Use text formatting (</w:t>
      </w:r>
      <w:proofErr w:type="gramStart"/>
      <w:r w:rsidRPr="380D4D3E">
        <w:rPr>
          <w:rFonts w:ascii="Calibri" w:hAnsi="Calibri" w:eastAsia="Calibri" w:cs="Calibri"/>
          <w:color w:val="000000" w:themeColor="text1"/>
          <w:sz w:val="22"/>
          <w:szCs w:val="22"/>
        </w:rPr>
        <w:t>i.e.</w:t>
      </w:r>
      <w:proofErr w:type="gramEnd"/>
      <w:r w:rsidRPr="380D4D3E">
        <w:rPr>
          <w:rFonts w:ascii="Calibri" w:hAnsi="Calibri" w:eastAsia="Calibri" w:cs="Calibri"/>
          <w:color w:val="000000" w:themeColor="text1"/>
          <w:sz w:val="22"/>
          <w:szCs w:val="22"/>
        </w:rPr>
        <w:t xml:space="preserve"> font, size, bold, italics, etc.) specifically as presented in this template.  Follow the header and footer format as shown.</w:t>
      </w:r>
    </w:p>
    <w:p w:rsidR="380D4D3E" w:rsidP="380D4D3E" w:rsidRDefault="380D4D3E" w14:paraId="74FBF321" w14:textId="356BC29F">
      <w:pPr>
        <w:jc w:val="center"/>
        <w:rPr>
          <w:b/>
          <w:bCs/>
          <w:sz w:val="28"/>
          <w:szCs w:val="28"/>
        </w:rPr>
      </w:pPr>
    </w:p>
    <w:p w:rsidR="00C2486C" w:rsidRDefault="00C2486C" w14:paraId="51CA95C1" w14:textId="77777777">
      <w:pPr>
        <w:rPr>
          <w:b/>
          <w:sz w:val="28"/>
          <w:szCs w:val="28"/>
        </w:rPr>
      </w:pPr>
      <w:r>
        <w:rPr>
          <w:b/>
          <w:sz w:val="28"/>
          <w:szCs w:val="28"/>
        </w:rPr>
        <w:br w:type="page"/>
      </w:r>
    </w:p>
    <w:p w:rsidRPr="00E611C8" w:rsidR="00C2486C" w:rsidP="009F2890" w:rsidRDefault="00C2486C" w14:paraId="2357E606" w14:textId="1F8D6519">
      <w:pPr>
        <w:jc w:val="center"/>
        <w:rPr>
          <w:rFonts w:cstheme="minorHAnsi"/>
          <w:b/>
          <w:sz w:val="40"/>
          <w:szCs w:val="40"/>
        </w:rPr>
      </w:pPr>
      <w:r w:rsidRPr="00E611C8">
        <w:rPr>
          <w:rFonts w:cstheme="minorHAnsi"/>
          <w:b/>
          <w:bCs/>
          <w:sz w:val="40"/>
          <w:szCs w:val="40"/>
        </w:rPr>
        <w:lastRenderedPageBreak/>
        <w:t>PURPOSE AND NEED AND STUDY AREA DEFINED</w:t>
      </w:r>
    </w:p>
    <w:p w:rsidRPr="00435053" w:rsidR="0FB4F2BA" w:rsidP="380D4D3E" w:rsidRDefault="0FB4F2BA" w14:paraId="16F9FF0E" w14:textId="606B6673">
      <w:pPr>
        <w:pStyle w:val="Hidden"/>
        <w:jc w:val="center"/>
        <w:rPr>
          <w:rFonts w:eastAsia="Calibri Light" w:asciiTheme="minorHAnsi" w:hAnsiTheme="minorHAnsi" w:cstheme="minorHAnsi"/>
          <w:bCs/>
        </w:rPr>
      </w:pPr>
      <w:r w:rsidRPr="00435053">
        <w:rPr>
          <w:rFonts w:eastAsia="Calibri Light" w:asciiTheme="minorHAnsi" w:hAnsiTheme="minorHAnsi" w:cstheme="minorHAnsi"/>
          <w:bCs/>
        </w:rPr>
        <w:t>Insert STIP Description</w:t>
      </w:r>
    </w:p>
    <w:p w:rsidRPr="00545ECB" w:rsidR="0FB4F2BA" w:rsidP="380D4D3E" w:rsidRDefault="0FB4F2BA" w14:paraId="2D9977B8" w14:textId="4A40BCBA">
      <w:pPr>
        <w:spacing w:line="240" w:lineRule="auto"/>
        <w:jc w:val="center"/>
        <w:rPr>
          <w:rFonts w:eastAsia="Arial" w:cstheme="minorHAnsi"/>
          <w:color w:val="000000" w:themeColor="text1"/>
          <w:sz w:val="32"/>
          <w:szCs w:val="32"/>
        </w:rPr>
      </w:pPr>
      <w:r w:rsidRPr="00435053">
        <w:rPr>
          <w:rFonts w:eastAsia="Calibri" w:cstheme="minorHAnsi"/>
          <w:color w:val="FF0000"/>
          <w:sz w:val="20"/>
          <w:szCs w:val="20"/>
        </w:rPr>
        <w:t>Example Text</w:t>
      </w:r>
      <w:r w:rsidRPr="00545ECB">
        <w:rPr>
          <w:rFonts w:eastAsia="Calibri" w:cstheme="minorHAnsi"/>
          <w:b/>
          <w:bCs/>
          <w:color w:val="000000" w:themeColor="text1"/>
          <w:sz w:val="32"/>
          <w:szCs w:val="32"/>
        </w:rPr>
        <w:t xml:space="preserve"> </w:t>
      </w:r>
      <w:r w:rsidRPr="00545ECB">
        <w:rPr>
          <w:rFonts w:eastAsia="Arial" w:cstheme="minorHAnsi"/>
          <w:color w:val="000000" w:themeColor="text1"/>
          <w:sz w:val="32"/>
          <w:szCs w:val="32"/>
        </w:rPr>
        <w:t>I-240 Upgrade and Improvements</w:t>
      </w:r>
    </w:p>
    <w:p w:rsidRPr="00435053" w:rsidR="0FB4F2BA" w:rsidP="380D4D3E" w:rsidRDefault="0FB4F2BA" w14:paraId="41A383A7" w14:textId="480C595C">
      <w:pPr>
        <w:pStyle w:val="Hidden"/>
        <w:jc w:val="center"/>
        <w:rPr>
          <w:rFonts w:eastAsia="Calibri Light" w:asciiTheme="minorHAnsi" w:hAnsiTheme="minorHAnsi" w:cstheme="minorHAnsi"/>
          <w:bCs/>
        </w:rPr>
      </w:pPr>
      <w:r w:rsidRPr="00435053">
        <w:rPr>
          <w:rFonts w:eastAsia="Calibri Light" w:asciiTheme="minorHAnsi" w:hAnsiTheme="minorHAnsi" w:cstheme="minorHAnsi"/>
          <w:bCs/>
        </w:rPr>
        <w:t>Insert County (</w:t>
      </w:r>
      <w:proofErr w:type="spellStart"/>
      <w:r w:rsidRPr="00435053">
        <w:rPr>
          <w:rFonts w:eastAsia="Calibri Light" w:asciiTheme="minorHAnsi" w:hAnsiTheme="minorHAnsi" w:cstheme="minorHAnsi"/>
          <w:bCs/>
        </w:rPr>
        <w:t>ies</w:t>
      </w:r>
      <w:proofErr w:type="spellEnd"/>
      <w:r w:rsidRPr="00435053">
        <w:rPr>
          <w:rFonts w:eastAsia="Calibri Light" w:asciiTheme="minorHAnsi" w:hAnsiTheme="minorHAnsi" w:cstheme="minorHAnsi"/>
          <w:bCs/>
        </w:rPr>
        <w:t>)</w:t>
      </w:r>
    </w:p>
    <w:p w:rsidRPr="00545ECB" w:rsidR="0FB4F2BA" w:rsidP="380D4D3E" w:rsidRDefault="0FB4F2BA" w14:paraId="04CEE4EF" w14:textId="27F2C5C7">
      <w:pPr>
        <w:spacing w:line="240" w:lineRule="auto"/>
        <w:jc w:val="center"/>
        <w:rPr>
          <w:rFonts w:eastAsia="Arial" w:cstheme="minorHAnsi"/>
          <w:color w:val="000000" w:themeColor="text1"/>
          <w:sz w:val="32"/>
          <w:szCs w:val="32"/>
        </w:rPr>
      </w:pPr>
      <w:r w:rsidRPr="00435053">
        <w:rPr>
          <w:rFonts w:eastAsia="Calibri" w:cstheme="minorHAnsi"/>
          <w:color w:val="FF0000"/>
          <w:sz w:val="20"/>
          <w:szCs w:val="20"/>
        </w:rPr>
        <w:t>Example Text</w:t>
      </w:r>
      <w:r w:rsidRPr="00435053">
        <w:rPr>
          <w:rFonts w:eastAsia="Calibri" w:cstheme="minorHAnsi"/>
          <w:b/>
          <w:bCs/>
          <w:color w:val="000000" w:themeColor="text1"/>
          <w:sz w:val="20"/>
          <w:szCs w:val="20"/>
        </w:rPr>
        <w:t xml:space="preserve"> </w:t>
      </w:r>
      <w:r w:rsidRPr="00545ECB">
        <w:rPr>
          <w:rFonts w:eastAsia="Arial" w:cstheme="minorHAnsi"/>
          <w:color w:val="000000" w:themeColor="text1"/>
          <w:sz w:val="32"/>
          <w:szCs w:val="32"/>
        </w:rPr>
        <w:t>Buncombe County</w:t>
      </w:r>
    </w:p>
    <w:p w:rsidRPr="00435053" w:rsidR="0FB4F2BA" w:rsidP="380D4D3E" w:rsidRDefault="0FB4F2BA" w14:paraId="7819E580" w14:textId="2EA76C37">
      <w:pPr>
        <w:pStyle w:val="Hidden"/>
        <w:jc w:val="center"/>
        <w:rPr>
          <w:rFonts w:eastAsia="Calibri Light" w:asciiTheme="minorHAnsi" w:hAnsiTheme="minorHAnsi" w:cstheme="minorHAnsi"/>
          <w:bCs/>
        </w:rPr>
      </w:pPr>
      <w:r w:rsidRPr="00435053">
        <w:rPr>
          <w:rFonts w:eastAsia="Calibri Light" w:asciiTheme="minorHAnsi" w:hAnsiTheme="minorHAnsi" w:cstheme="minorHAnsi"/>
          <w:bCs/>
        </w:rPr>
        <w:t>Insert STIP Project No.</w:t>
      </w:r>
    </w:p>
    <w:p w:rsidR="0FB4F2BA" w:rsidP="380D4D3E" w:rsidRDefault="0FB4F2BA" w14:paraId="27E928C9" w14:textId="25C11CB2">
      <w:pPr>
        <w:spacing w:line="240" w:lineRule="auto"/>
        <w:jc w:val="center"/>
        <w:rPr>
          <w:rFonts w:eastAsia="Arial" w:cstheme="minorHAnsi"/>
          <w:color w:val="000000" w:themeColor="text1"/>
          <w:sz w:val="32"/>
          <w:szCs w:val="32"/>
        </w:rPr>
      </w:pPr>
      <w:r w:rsidRPr="00435053">
        <w:rPr>
          <w:rFonts w:eastAsia="Calibri" w:cstheme="minorHAnsi"/>
          <w:color w:val="FF0000"/>
          <w:sz w:val="20"/>
          <w:szCs w:val="20"/>
        </w:rPr>
        <w:t>Example Text</w:t>
      </w:r>
      <w:r w:rsidRPr="00545ECB">
        <w:rPr>
          <w:rFonts w:eastAsia="Calibri" w:cstheme="minorHAnsi"/>
          <w:b/>
          <w:bCs/>
          <w:color w:val="000000" w:themeColor="text1"/>
          <w:sz w:val="32"/>
          <w:szCs w:val="32"/>
        </w:rPr>
        <w:t xml:space="preserve"> </w:t>
      </w:r>
      <w:r w:rsidRPr="00545ECB">
        <w:rPr>
          <w:rFonts w:eastAsia="Arial" w:cstheme="minorHAnsi"/>
          <w:color w:val="000000" w:themeColor="text1"/>
          <w:sz w:val="32"/>
          <w:szCs w:val="32"/>
        </w:rPr>
        <w:t>STIP Project E-8461</w:t>
      </w:r>
    </w:p>
    <w:p w:rsidRPr="00545ECB" w:rsidR="00165718" w:rsidP="380D4D3E" w:rsidRDefault="00165718" w14:paraId="5F2400B1" w14:textId="77777777">
      <w:pPr>
        <w:spacing w:line="240" w:lineRule="auto"/>
        <w:jc w:val="center"/>
        <w:rPr>
          <w:rFonts w:eastAsia="Arial" w:cstheme="minorHAnsi"/>
          <w:color w:val="000000" w:themeColor="text1"/>
          <w:sz w:val="32"/>
          <w:szCs w:val="32"/>
        </w:rPr>
      </w:pPr>
    </w:p>
    <w:p w:rsidRPr="00545ECB" w:rsidR="0FB4F2BA" w:rsidP="380D4D3E" w:rsidRDefault="0FB4F2BA" w14:paraId="5609C26C" w14:textId="2F19F10F">
      <w:pPr>
        <w:jc w:val="center"/>
        <w:rPr>
          <w:rFonts w:eastAsia="Calibri" w:cstheme="minorHAnsi"/>
          <w:color w:val="000000" w:themeColor="text1"/>
          <w:sz w:val="32"/>
          <w:szCs w:val="32"/>
        </w:rPr>
      </w:pPr>
      <w:r w:rsidRPr="00545ECB">
        <w:rPr>
          <w:rFonts w:eastAsia="Calibri" w:cstheme="minorHAnsi"/>
          <w:color w:val="000000" w:themeColor="text1"/>
          <w:sz w:val="32"/>
          <w:szCs w:val="32"/>
        </w:rPr>
        <w:t>North Carolina Department of Transportation</w:t>
      </w:r>
    </w:p>
    <w:p w:rsidRPr="00435053" w:rsidR="0FB4F2BA" w:rsidP="380D4D3E" w:rsidRDefault="0FB4F2BA" w14:paraId="4601C47D" w14:textId="28AEFFA2">
      <w:pPr>
        <w:pStyle w:val="Hidden"/>
        <w:jc w:val="center"/>
        <w:rPr>
          <w:rFonts w:eastAsia="Calibri Light" w:asciiTheme="minorHAnsi" w:hAnsiTheme="minorHAnsi" w:cstheme="minorHAnsi"/>
          <w:bCs/>
        </w:rPr>
      </w:pPr>
      <w:r w:rsidRPr="00435053">
        <w:rPr>
          <w:rFonts w:eastAsia="Calibri Light" w:asciiTheme="minorHAnsi" w:hAnsiTheme="minorHAnsi" w:cstheme="minorHAnsi"/>
          <w:bCs/>
        </w:rPr>
        <w:t>Insert Division Number</w:t>
      </w:r>
    </w:p>
    <w:p w:rsidRPr="00545ECB" w:rsidR="0FB4F2BA" w:rsidP="2A43A471" w:rsidRDefault="0FB4F2BA" w14:paraId="14D76609" w14:textId="283DCC8E">
      <w:pPr>
        <w:jc w:val="center"/>
        <w:rPr>
          <w:rFonts w:eastAsia="Calibri" w:cstheme="minorHAnsi"/>
          <w:color w:val="000000" w:themeColor="text1"/>
          <w:sz w:val="32"/>
          <w:szCs w:val="32"/>
        </w:rPr>
      </w:pPr>
      <w:r w:rsidRPr="00435053">
        <w:rPr>
          <w:rFonts w:eastAsia="Calibri" w:cstheme="minorHAnsi"/>
          <w:color w:val="FF0000"/>
          <w:sz w:val="20"/>
          <w:szCs w:val="20"/>
        </w:rPr>
        <w:t>Example Text</w:t>
      </w:r>
      <w:r w:rsidRPr="00545ECB">
        <w:rPr>
          <w:rFonts w:eastAsia="Calibri" w:cstheme="minorHAnsi"/>
          <w:b/>
          <w:bCs/>
          <w:color w:val="000000" w:themeColor="text1"/>
          <w:sz w:val="32"/>
          <w:szCs w:val="32"/>
        </w:rPr>
        <w:t xml:space="preserve"> </w:t>
      </w:r>
      <w:r w:rsidRPr="00545ECB">
        <w:rPr>
          <w:rFonts w:eastAsia="Calibri" w:cstheme="minorHAnsi"/>
          <w:color w:val="000000" w:themeColor="text1"/>
          <w:sz w:val="32"/>
          <w:szCs w:val="32"/>
        </w:rPr>
        <w:t xml:space="preserve">Division </w:t>
      </w:r>
      <w:r w:rsidRPr="00545ECB" w:rsidR="0E5BFE1F">
        <w:rPr>
          <w:rFonts w:eastAsia="Calibri" w:cstheme="minorHAnsi"/>
          <w:color w:val="000000" w:themeColor="text1"/>
          <w:sz w:val="32"/>
          <w:szCs w:val="32"/>
        </w:rPr>
        <w:t>13</w:t>
      </w:r>
    </w:p>
    <w:p w:rsidRPr="00545ECB" w:rsidR="380D4D3E" w:rsidP="380D4D3E" w:rsidRDefault="380D4D3E" w14:paraId="772DDD35" w14:textId="15895DDD">
      <w:pPr>
        <w:jc w:val="center"/>
        <w:rPr>
          <w:rFonts w:cstheme="minorHAnsi"/>
          <w:b/>
          <w:bCs/>
          <w:sz w:val="32"/>
          <w:szCs w:val="32"/>
        </w:rPr>
      </w:pPr>
    </w:p>
    <w:p w:rsidRPr="00545ECB" w:rsidR="00C2486C" w:rsidP="00C2486C" w:rsidRDefault="00C2486C" w14:paraId="01641712" w14:textId="77777777">
      <w:pPr>
        <w:jc w:val="center"/>
        <w:rPr>
          <w:rFonts w:cstheme="minorHAnsi"/>
          <w:b/>
          <w:sz w:val="32"/>
          <w:szCs w:val="32"/>
        </w:rPr>
      </w:pPr>
    </w:p>
    <w:p w:rsidRPr="00545ECB" w:rsidR="00C2486C" w:rsidP="00C2486C" w:rsidRDefault="00C2486C" w14:paraId="77D5CC53" w14:textId="77777777">
      <w:pPr>
        <w:jc w:val="center"/>
        <w:rPr>
          <w:rFonts w:cstheme="minorHAnsi"/>
          <w:b/>
          <w:sz w:val="32"/>
          <w:szCs w:val="32"/>
        </w:rPr>
      </w:pPr>
    </w:p>
    <w:p w:rsidRPr="00545ECB" w:rsidR="00C2486C" w:rsidP="00C2486C" w:rsidRDefault="00C2486C" w14:paraId="600C9499" w14:textId="77777777">
      <w:pPr>
        <w:jc w:val="center"/>
        <w:rPr>
          <w:rFonts w:cstheme="minorHAnsi"/>
          <w:b/>
          <w:sz w:val="32"/>
          <w:szCs w:val="32"/>
        </w:rPr>
      </w:pPr>
      <w:r w:rsidRPr="00545ECB">
        <w:rPr>
          <w:rFonts w:cstheme="minorHAnsi"/>
          <w:b/>
          <w:noProof/>
          <w:sz w:val="32"/>
          <w:szCs w:val="32"/>
        </w:rPr>
        <w:drawing>
          <wp:inline distT="0" distB="0" distL="0" distR="0" wp14:anchorId="1546C537" wp14:editId="57089DBB">
            <wp:extent cx="13335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48740"/>
                    </a:xfrm>
                    <a:prstGeom prst="rect">
                      <a:avLst/>
                    </a:prstGeom>
                    <a:noFill/>
                    <a:ln>
                      <a:noFill/>
                    </a:ln>
                  </pic:spPr>
                </pic:pic>
              </a:graphicData>
            </a:graphic>
          </wp:inline>
        </w:drawing>
      </w:r>
    </w:p>
    <w:p w:rsidRPr="00545ECB" w:rsidR="00C2486C" w:rsidP="00C2486C" w:rsidRDefault="00C2486C" w14:paraId="5DAD8E1E" w14:textId="77777777">
      <w:pPr>
        <w:jc w:val="center"/>
        <w:rPr>
          <w:rFonts w:cstheme="minorHAnsi"/>
          <w:b/>
          <w:sz w:val="32"/>
          <w:szCs w:val="32"/>
        </w:rPr>
      </w:pPr>
    </w:p>
    <w:p w:rsidRPr="00545ECB" w:rsidR="00C2486C" w:rsidP="00C2486C" w:rsidRDefault="00C2486C" w14:paraId="6631FB40" w14:textId="77777777">
      <w:pPr>
        <w:jc w:val="center"/>
        <w:rPr>
          <w:rFonts w:cstheme="minorHAnsi"/>
          <w:b/>
          <w:sz w:val="32"/>
          <w:szCs w:val="32"/>
        </w:rPr>
      </w:pPr>
    </w:p>
    <w:p w:rsidRPr="00545ECB" w:rsidR="00C2486C" w:rsidP="00C2486C" w:rsidRDefault="00C2486C" w14:paraId="2680A4BD" w14:textId="77777777">
      <w:pPr>
        <w:jc w:val="center"/>
        <w:rPr>
          <w:rFonts w:cstheme="minorHAnsi"/>
          <w:b/>
          <w:sz w:val="32"/>
          <w:szCs w:val="32"/>
        </w:rPr>
      </w:pPr>
    </w:p>
    <w:p w:rsidRPr="00545ECB" w:rsidR="00C2486C" w:rsidP="00C2486C" w:rsidRDefault="009F2890" w14:paraId="303C9C03" w14:textId="7AA82481">
      <w:pPr>
        <w:jc w:val="center"/>
        <w:rPr>
          <w:rFonts w:cstheme="minorHAnsi"/>
          <w:b/>
          <w:sz w:val="32"/>
          <w:szCs w:val="32"/>
        </w:rPr>
      </w:pPr>
      <w:r w:rsidRPr="00545ECB">
        <w:rPr>
          <w:rFonts w:cstheme="minorHAnsi"/>
          <w:b/>
          <w:sz w:val="32"/>
          <w:szCs w:val="32"/>
        </w:rPr>
        <w:t>MERGER CONCURRENCE POINT NUMBER 1</w:t>
      </w:r>
    </w:p>
    <w:p w:rsidRPr="00545ECB" w:rsidR="00C2486C" w:rsidP="00C2486C" w:rsidRDefault="00CF270E" w14:paraId="2039DF28" w14:textId="77777777">
      <w:pPr>
        <w:jc w:val="center"/>
        <w:rPr>
          <w:rFonts w:cstheme="minorHAnsi"/>
          <w:b/>
          <w:i/>
          <w:sz w:val="32"/>
          <w:szCs w:val="32"/>
        </w:rPr>
      </w:pPr>
      <w:r w:rsidRPr="00545ECB">
        <w:rPr>
          <w:rFonts w:cstheme="minorHAnsi"/>
          <w:b/>
          <w:i/>
          <w:sz w:val="32"/>
          <w:szCs w:val="32"/>
        </w:rPr>
        <w:t xml:space="preserve">Insert Meeting </w:t>
      </w:r>
      <w:r w:rsidRPr="00545ECB" w:rsidR="00C2486C">
        <w:rPr>
          <w:rFonts w:cstheme="minorHAnsi"/>
          <w:b/>
          <w:i/>
          <w:sz w:val="32"/>
          <w:szCs w:val="32"/>
        </w:rPr>
        <w:t>Date</w:t>
      </w:r>
      <w:r w:rsidRPr="00545ECB">
        <w:rPr>
          <w:rFonts w:cstheme="minorHAnsi"/>
          <w:b/>
          <w:i/>
          <w:sz w:val="32"/>
          <w:szCs w:val="32"/>
        </w:rPr>
        <w:t>/Time</w:t>
      </w:r>
    </w:p>
    <w:p w:rsidRPr="00C356CA" w:rsidR="00C2486C" w:rsidP="00C356CA" w:rsidRDefault="00C2486C" w14:paraId="21146B5B" w14:textId="1645423A">
      <w:pPr>
        <w:rPr>
          <w:b/>
          <w:bCs/>
          <w:sz w:val="28"/>
          <w:szCs w:val="28"/>
        </w:rPr>
      </w:pPr>
      <w:r w:rsidRPr="00545ECB">
        <w:rPr>
          <w:rFonts w:cstheme="minorHAnsi"/>
          <w:b/>
          <w:sz w:val="32"/>
          <w:szCs w:val="32"/>
        </w:rPr>
        <w:br w:type="page"/>
      </w:r>
      <w:r w:rsidRPr="00C356CA">
        <w:rPr>
          <w:b/>
          <w:bCs/>
        </w:rPr>
        <w:lastRenderedPageBreak/>
        <w:t xml:space="preserve">Insert Table of Contents </w:t>
      </w:r>
      <w:r w:rsidRPr="00C356CA" w:rsidR="003A7713">
        <w:rPr>
          <w:b/>
          <w:bCs/>
        </w:rPr>
        <w:t>(if desired)</w:t>
      </w:r>
    </w:p>
    <w:p w:rsidR="00EE40D4" w:rsidP="00C2486C" w:rsidRDefault="00EE40D4" w14:paraId="4F5F662F" w14:textId="77777777">
      <w:pPr>
        <w:spacing w:after="120"/>
        <w:rPr>
          <w:b/>
          <w:bCs/>
        </w:rPr>
      </w:pPr>
    </w:p>
    <w:p w:rsidR="00EE40D4" w:rsidP="00C2486C" w:rsidRDefault="00EE40D4" w14:paraId="466C2763" w14:textId="3E2FEB37">
      <w:pPr>
        <w:spacing w:after="120"/>
      </w:pPr>
      <w:r w:rsidRPr="00533D46">
        <w:rPr>
          <w:b/>
          <w:bCs/>
        </w:rPr>
        <w:t>Figures</w:t>
      </w:r>
      <w:r>
        <w:t xml:space="preserve"> </w:t>
      </w:r>
    </w:p>
    <w:p w:rsidR="00C2486C" w:rsidP="00C2486C" w:rsidRDefault="00EE40D4" w14:paraId="1C304987" w14:textId="61EFC52D">
      <w:pPr>
        <w:spacing w:after="120"/>
      </w:pPr>
      <w:r>
        <w:t>Vicinity</w:t>
      </w:r>
      <w:r w:rsidR="00C2486C">
        <w:t xml:space="preserve"> Map </w:t>
      </w:r>
    </w:p>
    <w:p w:rsidR="00D7572F" w:rsidP="00D7572F" w:rsidRDefault="00D7572F" w14:paraId="0D91EB94" w14:textId="77777777">
      <w:pPr>
        <w:spacing w:after="120"/>
      </w:pPr>
      <w:r>
        <w:t xml:space="preserve">Study Area Map </w:t>
      </w:r>
    </w:p>
    <w:p w:rsidR="00917E32" w:rsidP="00917E32" w:rsidRDefault="00917E32" w14:paraId="4D485EFB" w14:textId="77777777">
      <w:pPr>
        <w:spacing w:after="120"/>
      </w:pPr>
      <w:r>
        <w:t xml:space="preserve">Environmental Features Map </w:t>
      </w:r>
    </w:p>
    <w:p w:rsidR="00587FE4" w:rsidP="00C2486C" w:rsidRDefault="00587FE4" w14:paraId="3EA29C78" w14:textId="51EC5CCD">
      <w:pPr>
        <w:spacing w:after="120"/>
      </w:pPr>
      <w:r>
        <w:t>Other STIP Projects in Area</w:t>
      </w:r>
    </w:p>
    <w:p w:rsidR="001061C5" w:rsidP="00C2486C" w:rsidRDefault="001061C5" w14:paraId="5FCD8E51" w14:textId="16F83DAF">
      <w:pPr>
        <w:spacing w:after="120"/>
      </w:pPr>
      <w:r>
        <w:t>Traffic-related Maps (if applicable)</w:t>
      </w:r>
    </w:p>
    <w:p w:rsidRPr="00C2486C" w:rsidR="0002441C" w:rsidP="0002441C" w:rsidRDefault="0002441C" w14:paraId="3976D647" w14:textId="169B6672">
      <w:pPr>
        <w:pStyle w:val="TOCHeading"/>
        <w:spacing w:before="0" w:after="120"/>
        <w:rPr>
          <w:sz w:val="24"/>
          <w:szCs w:val="24"/>
        </w:rPr>
      </w:pPr>
      <w:r>
        <w:t xml:space="preserve"> </w:t>
      </w:r>
    </w:p>
    <w:p w:rsidR="00CF270E" w:rsidRDefault="00CF270E" w14:paraId="09996D59" w14:textId="77777777">
      <w:r>
        <w:br w:type="page"/>
      </w:r>
    </w:p>
    <w:p w:rsidR="00C2486C" w:rsidP="000E49C0" w:rsidRDefault="00CF270E" w14:paraId="5E04B457" w14:textId="5B99525D">
      <w:pPr>
        <w:pStyle w:val="ListParagraph"/>
        <w:numPr>
          <w:ilvl w:val="0"/>
          <w:numId w:val="1"/>
        </w:numPr>
        <w:spacing w:after="120"/>
        <w:ind w:left="360"/>
        <w:outlineLvl w:val="0"/>
        <w:rPr>
          <w:b/>
          <w:sz w:val="24"/>
          <w:szCs w:val="24"/>
        </w:rPr>
      </w:pPr>
      <w:r w:rsidRPr="000E49C0">
        <w:rPr>
          <w:b/>
          <w:sz w:val="24"/>
          <w:szCs w:val="24"/>
        </w:rPr>
        <w:lastRenderedPageBreak/>
        <w:t>Introduction</w:t>
      </w:r>
    </w:p>
    <w:p w:rsidRPr="00DD2DB7" w:rsidR="00234435" w:rsidP="00234435" w:rsidRDefault="00234435" w14:paraId="6D3325B1" w14:textId="54F08EDC">
      <w:pPr>
        <w:spacing w:after="120"/>
        <w:outlineLvl w:val="0"/>
        <w:rPr>
          <w:rFonts w:asciiTheme="majorHAnsi" w:hAnsiTheme="majorHAnsi" w:cstheme="majorBidi"/>
          <w:b/>
          <w:vanish/>
          <w:color w:val="7030A0"/>
          <w:sz w:val="20"/>
          <w:szCs w:val="20"/>
        </w:rPr>
      </w:pPr>
      <w:r w:rsidRPr="6D9B2B4C">
        <w:rPr>
          <w:rFonts w:asciiTheme="majorHAnsi" w:hAnsiTheme="majorHAnsi" w:cstheme="majorBidi"/>
          <w:b/>
          <w:vanish/>
          <w:color w:val="7030A0"/>
          <w:sz w:val="20"/>
          <w:szCs w:val="20"/>
        </w:rPr>
        <w:t>This section should provide information such as the Lead</w:t>
      </w:r>
      <w:r w:rsidRPr="6D9B2B4C" w:rsidR="00DD2DB7">
        <w:rPr>
          <w:rFonts w:asciiTheme="majorHAnsi" w:hAnsiTheme="majorHAnsi" w:cstheme="majorBidi"/>
          <w:b/>
          <w:vanish/>
          <w:color w:val="7030A0"/>
          <w:sz w:val="20"/>
          <w:szCs w:val="20"/>
        </w:rPr>
        <w:t xml:space="preserve"> federal agency and primary points of contact for the project</w:t>
      </w:r>
      <w:r w:rsidRPr="00DF7AB8" w:rsidR="00C1137A">
        <w:rPr>
          <w:rFonts w:asciiTheme="majorHAnsi" w:hAnsiTheme="majorHAnsi" w:cstheme="majorBidi"/>
          <w:b/>
          <w:vanish/>
          <w:color w:val="7030A0"/>
          <w:sz w:val="20"/>
          <w:szCs w:val="20"/>
        </w:rPr>
        <w:t>. A</w:t>
      </w:r>
      <w:r w:rsidRPr="00DF7AB8" w:rsidR="00E20D09">
        <w:rPr>
          <w:rFonts w:asciiTheme="majorHAnsi" w:hAnsiTheme="majorHAnsi" w:cstheme="majorBidi"/>
          <w:b/>
          <w:vanish/>
          <w:color w:val="7030A0"/>
          <w:sz w:val="20"/>
          <w:szCs w:val="20"/>
        </w:rPr>
        <w:t xml:space="preserve">dditionally, </w:t>
      </w:r>
      <w:r w:rsidRPr="00DF7AB8" w:rsidR="00C1137A">
        <w:rPr>
          <w:rFonts w:asciiTheme="majorHAnsi" w:hAnsiTheme="majorHAnsi" w:cstheme="majorBidi"/>
          <w:b/>
          <w:vanish/>
          <w:color w:val="7030A0"/>
          <w:sz w:val="20"/>
          <w:szCs w:val="20"/>
        </w:rPr>
        <w:t>state the purpose of the meeting and if one or multiple concurrence points are being addressed.</w:t>
      </w:r>
    </w:p>
    <w:p w:rsidR="005E0BBC" w:rsidP="005E0BBC" w:rsidRDefault="00983A62" w14:paraId="5CE39CEC"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E20D09">
        <w:rPr>
          <w:rFonts w:ascii="Calibri" w:hAnsi="Calibri" w:eastAsia="Calibri" w:cs="Calibri"/>
          <w:color w:val="FF0000"/>
          <w:sz w:val="22"/>
          <w:szCs w:val="22"/>
        </w:rPr>
        <w:t>Example Text</w:t>
      </w:r>
      <w:r w:rsidRPr="00E20D09">
        <w:rPr>
          <w:rFonts w:ascii="Calibri" w:hAnsi="Calibri" w:eastAsia="Calibri" w:cs="Calibri"/>
          <w:b/>
          <w:bCs/>
          <w:color w:val="000000" w:themeColor="text1"/>
          <w:sz w:val="22"/>
          <w:szCs w:val="22"/>
        </w:rPr>
        <w:t xml:space="preserve"> </w:t>
      </w:r>
      <w:r w:rsidR="005E0BBC">
        <w:rPr>
          <w:rFonts w:ascii="Calibri" w:hAnsi="Calibri" w:eastAsia="Calibri" w:cs="Calibri"/>
          <w:color w:val="000000" w:themeColor="text1"/>
          <w:sz w:val="22"/>
          <w:szCs w:val="22"/>
        </w:rPr>
        <w:t>Lead federal agency: US Army Corps of Engineers</w:t>
      </w:r>
    </w:p>
    <w:p w:rsidR="005E0BBC" w:rsidP="005E0BBC" w:rsidRDefault="005E0BBC" w14:paraId="2307E1DA"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Primary points of contact for the subject project are:</w:t>
      </w:r>
    </w:p>
    <w:p w:rsidR="00DF7AB8" w:rsidP="00316B59" w:rsidRDefault="00DF7AB8" w14:paraId="55FDD4A3" w14:textId="0070330E">
      <w:pPr>
        <w:pStyle w:val="paragraph"/>
        <w:spacing w:before="0" w:beforeAutospacing="0" w:after="0" w:afterAutospacing="0"/>
        <w:textAlignment w:val="baseline"/>
        <w:rPr>
          <w:rFonts w:ascii="Calibri" w:hAnsi="Calibri" w:eastAsia="Calibri" w:cs="Calibri"/>
          <w:b/>
          <w:bCs/>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BD0578" w:rsidTr="00BD0578" w14:paraId="5575EFD2" w14:textId="77777777">
        <w:tc>
          <w:tcPr>
            <w:tcW w:w="4675" w:type="dxa"/>
          </w:tcPr>
          <w:p w:rsidR="00BD0578" w:rsidP="00316B59" w:rsidRDefault="00BD0578" w14:paraId="4BCB83DE" w14:textId="41D46D2F">
            <w:pPr>
              <w:pStyle w:val="paragraph"/>
              <w:spacing w:before="0" w:beforeAutospacing="0" w:after="0" w:afterAutospacing="0"/>
              <w:textAlignment w:val="baseline"/>
              <w:rPr>
                <w:rFonts w:ascii="Calibri" w:hAnsi="Calibri" w:eastAsia="Calibri" w:cs="Calibri"/>
                <w:b/>
                <w:bCs/>
                <w:color w:val="000000" w:themeColor="text1"/>
                <w:sz w:val="22"/>
                <w:szCs w:val="22"/>
              </w:rPr>
            </w:pPr>
            <w:r>
              <w:rPr>
                <w:rFonts w:ascii="Calibri" w:hAnsi="Calibri" w:eastAsia="Calibri" w:cs="Calibri"/>
                <w:b/>
                <w:bCs/>
                <w:color w:val="000000" w:themeColor="text1"/>
                <w:sz w:val="22"/>
                <w:szCs w:val="22"/>
              </w:rPr>
              <w:t>Agency</w:t>
            </w:r>
          </w:p>
        </w:tc>
        <w:tc>
          <w:tcPr>
            <w:tcW w:w="4675" w:type="dxa"/>
          </w:tcPr>
          <w:p w:rsidR="00BD0578" w:rsidP="00316B59" w:rsidRDefault="00BD0578" w14:paraId="598EC705" w14:textId="28D0156E">
            <w:pPr>
              <w:pStyle w:val="paragraph"/>
              <w:spacing w:before="0" w:beforeAutospacing="0" w:after="0" w:afterAutospacing="0"/>
              <w:textAlignment w:val="baseline"/>
              <w:rPr>
                <w:rFonts w:ascii="Calibri" w:hAnsi="Calibri" w:eastAsia="Calibri" w:cs="Calibri"/>
                <w:b/>
                <w:bCs/>
                <w:color w:val="000000" w:themeColor="text1"/>
                <w:sz w:val="22"/>
                <w:szCs w:val="22"/>
              </w:rPr>
            </w:pPr>
            <w:r>
              <w:rPr>
                <w:rFonts w:ascii="Calibri" w:hAnsi="Calibri" w:eastAsia="Calibri" w:cs="Calibri"/>
                <w:b/>
                <w:bCs/>
                <w:color w:val="000000" w:themeColor="text1"/>
                <w:sz w:val="22"/>
                <w:szCs w:val="22"/>
              </w:rPr>
              <w:t>Name</w:t>
            </w:r>
          </w:p>
        </w:tc>
      </w:tr>
      <w:tr w:rsidR="00BD0578" w:rsidTr="00BD0578" w14:paraId="5E00A118" w14:textId="77777777">
        <w:tc>
          <w:tcPr>
            <w:tcW w:w="4675" w:type="dxa"/>
          </w:tcPr>
          <w:p w:rsidRPr="00C5625D" w:rsidR="00BD0578" w:rsidP="00316B59" w:rsidRDefault="00E455E7" w14:paraId="287E1F6F" w14:textId="51C480B9">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Federal Highway Administration</w:t>
            </w:r>
            <w:r w:rsidRPr="00C5625D" w:rsidR="00EF22BF">
              <w:rPr>
                <w:rFonts w:ascii="Calibri" w:hAnsi="Calibri" w:eastAsia="Calibri" w:cs="Calibri"/>
                <w:color w:val="000000" w:themeColor="text1"/>
                <w:sz w:val="22"/>
                <w:szCs w:val="22"/>
              </w:rPr>
              <w:t xml:space="preserve"> (FHWA)</w:t>
            </w:r>
          </w:p>
        </w:tc>
        <w:tc>
          <w:tcPr>
            <w:tcW w:w="4675" w:type="dxa"/>
          </w:tcPr>
          <w:p w:rsidRPr="00C5625D" w:rsidR="00BD0578" w:rsidP="00316B59" w:rsidRDefault="002761E6" w14:paraId="0988BE7E" w14:textId="12DE12F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Glinda Moore</w:t>
            </w:r>
          </w:p>
        </w:tc>
      </w:tr>
      <w:tr w:rsidR="00BD0578" w:rsidTr="00BD0578" w14:paraId="1C7AB3AB" w14:textId="77777777">
        <w:tc>
          <w:tcPr>
            <w:tcW w:w="4675" w:type="dxa"/>
          </w:tcPr>
          <w:p w:rsidRPr="00C5625D" w:rsidR="00BD0578" w:rsidP="00316B59" w:rsidRDefault="002761E6" w14:paraId="5930EDD5" w14:textId="1B1FDF42">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U.S. Army Corps of Engineers (USACE)</w:t>
            </w:r>
          </w:p>
        </w:tc>
        <w:tc>
          <w:tcPr>
            <w:tcW w:w="4675" w:type="dxa"/>
          </w:tcPr>
          <w:p w:rsidRPr="00C5625D" w:rsidR="00BD0578" w:rsidP="00316B59" w:rsidRDefault="00C22D99" w14:paraId="4520F598" w14:textId="1A4EC36D">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Harrison Porter</w:t>
            </w:r>
          </w:p>
        </w:tc>
      </w:tr>
      <w:tr w:rsidR="00BD0578" w:rsidTr="00BD0578" w14:paraId="0098BD8C" w14:textId="77777777">
        <w:tc>
          <w:tcPr>
            <w:tcW w:w="4675" w:type="dxa"/>
          </w:tcPr>
          <w:p w:rsidRPr="00C5625D" w:rsidR="00BD0578" w:rsidP="00316B59" w:rsidRDefault="00C22D99" w14:paraId="2A4B6CBB" w14:textId="3DEC009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North Carolina Department of Water Resources (NCDWR)</w:t>
            </w:r>
          </w:p>
        </w:tc>
        <w:tc>
          <w:tcPr>
            <w:tcW w:w="4675" w:type="dxa"/>
          </w:tcPr>
          <w:p w:rsidRPr="00C5625D" w:rsidR="00BD0578" w:rsidP="00316B59" w:rsidRDefault="00C22D99" w14:paraId="2A9711F5" w14:textId="6A59A44F">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 xml:space="preserve">Clara </w:t>
            </w:r>
            <w:r w:rsidR="00C5625D">
              <w:rPr>
                <w:rFonts w:ascii="Calibri" w:hAnsi="Calibri" w:eastAsia="Calibri" w:cs="Calibri"/>
                <w:color w:val="000000" w:themeColor="text1"/>
                <w:sz w:val="22"/>
                <w:szCs w:val="22"/>
              </w:rPr>
              <w:t>R</w:t>
            </w:r>
            <w:r w:rsidRPr="00C5625D" w:rsidR="00A64136">
              <w:rPr>
                <w:rFonts w:ascii="Calibri" w:hAnsi="Calibri" w:eastAsia="Calibri" w:cs="Calibri"/>
                <w:color w:val="000000" w:themeColor="text1"/>
                <w:sz w:val="22"/>
                <w:szCs w:val="22"/>
              </w:rPr>
              <w:t>eims</w:t>
            </w:r>
          </w:p>
        </w:tc>
      </w:tr>
      <w:tr w:rsidR="00BD0578" w:rsidTr="00BD0578" w14:paraId="39507B9F" w14:textId="77777777">
        <w:tc>
          <w:tcPr>
            <w:tcW w:w="4675" w:type="dxa"/>
          </w:tcPr>
          <w:p w:rsidRPr="00C5625D" w:rsidR="00BD0578" w:rsidP="00316B59" w:rsidRDefault="00EF0ED2" w14:paraId="7EAC59A8" w14:textId="141C7F90">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North Carolina Department of Transportation</w:t>
            </w:r>
          </w:p>
        </w:tc>
        <w:tc>
          <w:tcPr>
            <w:tcW w:w="4675" w:type="dxa"/>
          </w:tcPr>
          <w:p w:rsidRPr="00C5625D" w:rsidR="00BD0578" w:rsidP="00316B59" w:rsidRDefault="00EF0ED2" w14:paraId="34F86BE8" w14:textId="7F8EC183">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Jo Merger</w:t>
            </w:r>
          </w:p>
        </w:tc>
      </w:tr>
      <w:tr w:rsidR="00EF0ED2" w:rsidTr="00BD0578" w14:paraId="0D0DDEC7" w14:textId="77777777">
        <w:tc>
          <w:tcPr>
            <w:tcW w:w="4675" w:type="dxa"/>
          </w:tcPr>
          <w:p w:rsidRPr="00C5625D" w:rsidR="00EF0ED2" w:rsidP="00316B59" w:rsidRDefault="00EF0ED2" w14:paraId="28562BC2" w14:textId="734D2BDD">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HNTB</w:t>
            </w:r>
          </w:p>
        </w:tc>
        <w:tc>
          <w:tcPr>
            <w:tcW w:w="4675" w:type="dxa"/>
          </w:tcPr>
          <w:p w:rsidRPr="00C5625D" w:rsidR="00EF0ED2" w:rsidP="00316B59" w:rsidRDefault="00C5625D" w14:paraId="0CD97298" w14:textId="275247DD">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Jane Merger</w:t>
            </w:r>
          </w:p>
        </w:tc>
      </w:tr>
    </w:tbl>
    <w:p w:rsidR="00316B59" w:rsidP="00C5625D" w:rsidRDefault="00316B59" w14:paraId="75D73BEF" w14:textId="5516892D">
      <w:pPr>
        <w:pStyle w:val="paragraph"/>
        <w:spacing w:before="0" w:beforeAutospacing="0" w:after="0" w:afterAutospacing="0"/>
        <w:textAlignment w:val="baseline"/>
        <w:rPr>
          <w:rFonts w:ascii="Calibri" w:hAnsi="Calibri" w:cs="Calibri"/>
          <w:sz w:val="22"/>
          <w:szCs w:val="22"/>
        </w:rPr>
      </w:pPr>
    </w:p>
    <w:p w:rsidRPr="00BA2E4B" w:rsidR="00316B59" w:rsidP="00316B59" w:rsidRDefault="00BA2E4B" w14:paraId="23F9A64D" w14:textId="0008F2BC">
      <w:pPr>
        <w:spacing w:after="120"/>
        <w:outlineLvl w:val="0"/>
        <w:rPr>
          <w:bCs/>
        </w:rPr>
      </w:pPr>
      <w:r w:rsidRPr="00BA2E4B">
        <w:rPr>
          <w:bCs/>
        </w:rPr>
        <w:t xml:space="preserve">The </w:t>
      </w:r>
      <w:r w:rsidR="00247345">
        <w:rPr>
          <w:bCs/>
        </w:rPr>
        <w:t>p</w:t>
      </w:r>
      <w:r w:rsidRPr="00BA2E4B">
        <w:rPr>
          <w:bCs/>
        </w:rPr>
        <w:t>urpose</w:t>
      </w:r>
      <w:r>
        <w:rPr>
          <w:bCs/>
        </w:rPr>
        <w:t xml:space="preserve"> of this meeting is to reach </w:t>
      </w:r>
      <w:r w:rsidR="00247345">
        <w:rPr>
          <w:bCs/>
        </w:rPr>
        <w:t>concurrence on CP 1</w:t>
      </w:r>
      <w:r w:rsidR="00C80708">
        <w:rPr>
          <w:bCs/>
        </w:rPr>
        <w:t xml:space="preserve">, Purpose and Need and Study Area </w:t>
      </w:r>
      <w:r w:rsidR="002C020A">
        <w:rPr>
          <w:bCs/>
        </w:rPr>
        <w:t>d</w:t>
      </w:r>
      <w:r w:rsidR="00C80708">
        <w:rPr>
          <w:bCs/>
        </w:rPr>
        <w:t>efined.</w:t>
      </w:r>
    </w:p>
    <w:p w:rsidRPr="0075484B" w:rsidR="00CF270E" w:rsidP="000E49C0" w:rsidRDefault="000E49C0" w14:paraId="7587529B" w14:textId="54347046">
      <w:pPr>
        <w:spacing w:after="120"/>
        <w:outlineLvl w:val="1"/>
        <w:rPr>
          <w:b/>
        </w:rPr>
      </w:pPr>
      <w:r>
        <w:rPr>
          <w:b/>
        </w:rPr>
        <w:t>1.1</w:t>
      </w:r>
      <w:r>
        <w:rPr>
          <w:b/>
        </w:rPr>
        <w:tab/>
      </w:r>
      <w:r w:rsidRPr="0075484B" w:rsidR="00CF270E">
        <w:rPr>
          <w:b/>
        </w:rPr>
        <w:t>Project Description</w:t>
      </w:r>
    </w:p>
    <w:p w:rsidRPr="00F41AD5" w:rsidR="003A7713" w:rsidP="00F41AD5" w:rsidRDefault="003A7713" w14:paraId="1DD3B16C" w14:textId="39B6D97C">
      <w:pPr>
        <w:pStyle w:val="Hidden"/>
      </w:pPr>
      <w:r>
        <w:t xml:space="preserve">This section should use the STIP description to introduce the project, provide the start and end points, the length of the project, and the project identification.  It should also introduce Figure 1, the project </w:t>
      </w:r>
      <w:r w:rsidR="00EE1089">
        <w:t>vicinity</w:t>
      </w:r>
      <w:r>
        <w:t xml:space="preserve"> map.</w:t>
      </w:r>
    </w:p>
    <w:p w:rsidR="00CF270E" w:rsidP="380D4D3E" w:rsidRDefault="7BCD61BC" w14:paraId="6378FED1" w14:textId="069F70DD">
      <w:pPr>
        <w:spacing w:after="120"/>
        <w:rPr>
          <w:rFonts w:ascii="Calibri" w:hAnsi="Calibri" w:eastAsia="Calibri" w:cs="Calibri"/>
          <w:color w:val="000000" w:themeColor="text1"/>
        </w:rPr>
      </w:pPr>
      <w:r w:rsidRPr="380D4D3E">
        <w:rPr>
          <w:rFonts w:ascii="Calibri" w:hAnsi="Calibri" w:eastAsia="Calibri" w:cs="Calibri"/>
          <w:color w:val="FF0000"/>
        </w:rPr>
        <w:t>Example Text</w:t>
      </w:r>
      <w:r>
        <w:t xml:space="preserve"> </w:t>
      </w:r>
      <w:r w:rsidR="00CF270E">
        <w:t xml:space="preserve">The North Carolina Department of Transportation (NCDOT) proposes to widen (Amboy Road/Meadow Road) to multi-lanes from I-240 to NC 81/SR 3214 (Biltmore Avenue), with a new bridge over the French Broad River, in Asheville, Buncombe County, North Carolina. The project is approximately 2.7 miles long and is identified in the State Transportation Improvement Program (STIP) as Project No. </w:t>
      </w:r>
      <w:r w:rsidR="008F2F08">
        <w:t>E-</w:t>
      </w:r>
      <w:r w:rsidR="00A801A4">
        <w:t>8461</w:t>
      </w:r>
      <w:r w:rsidR="00CF270E">
        <w:t xml:space="preserve">, WBS No. 39741.1.2, Federal Aid No. STP-3556(2). The project location is shown in </w:t>
      </w:r>
      <w:r w:rsidRPr="005E0BBC" w:rsidR="00CF270E">
        <w:t>Figure 1</w:t>
      </w:r>
      <w:r w:rsidRPr="00DF3DF7" w:rsidR="00CF270E">
        <w:t>.</w:t>
      </w:r>
    </w:p>
    <w:p w:rsidRPr="00D4698B" w:rsidR="0075484B" w:rsidP="000E49C0" w:rsidRDefault="000E49C0" w14:paraId="22A844A4" w14:textId="7B89E064">
      <w:pPr>
        <w:spacing w:after="120"/>
        <w:outlineLvl w:val="1"/>
        <w:rPr>
          <w:b/>
        </w:rPr>
      </w:pPr>
      <w:r>
        <w:rPr>
          <w:b/>
        </w:rPr>
        <w:t>1.</w:t>
      </w:r>
      <w:r w:rsidR="00C80708">
        <w:rPr>
          <w:b/>
        </w:rPr>
        <w:t>2</w:t>
      </w:r>
      <w:r>
        <w:rPr>
          <w:b/>
        </w:rPr>
        <w:tab/>
      </w:r>
      <w:r w:rsidRPr="00D4698B" w:rsidR="0075484B">
        <w:rPr>
          <w:b/>
        </w:rPr>
        <w:t>Project History</w:t>
      </w:r>
      <w:r w:rsidR="003A147E">
        <w:rPr>
          <w:b/>
        </w:rPr>
        <w:t xml:space="preserve"> and Merger Plan</w:t>
      </w:r>
    </w:p>
    <w:p w:rsidR="00E41811" w:rsidP="00E41811" w:rsidRDefault="00E41811" w14:paraId="4EE4474F" w14:textId="4439023A">
      <w:pPr>
        <w:pStyle w:val="Hidden"/>
      </w:pPr>
      <w:r>
        <w:t xml:space="preserve">This section should list the local plans that include the project and verify that it’s in the STIP, as well as to provide a basic schedule and cost information.  At CP 1, </w:t>
      </w:r>
      <w:r w:rsidR="20D215CD">
        <w:t>cost data may include that in the STIP listing or other relevant estimates</w:t>
      </w:r>
      <w:r>
        <w:t>.</w:t>
      </w:r>
      <w:r w:rsidR="142C3797">
        <w:t xml:space="preserve">  </w:t>
      </w:r>
      <w:r w:rsidR="20944ADE">
        <w:t xml:space="preserve">The project schedule should be discussed in context with the proposed </w:t>
      </w:r>
      <w:r w:rsidRPr="4BE9536E" w:rsidR="20944ADE">
        <w:rPr>
          <w:u w:val="single"/>
        </w:rPr>
        <w:t>Merger Plan</w:t>
      </w:r>
      <w:r w:rsidR="20944ADE">
        <w:t xml:space="preserve"> for the project</w:t>
      </w:r>
      <w:r w:rsidR="22B8D162">
        <w:t xml:space="preserve">.  </w:t>
      </w:r>
      <w:r w:rsidR="0036328F">
        <w:t>In this section</w:t>
      </w:r>
      <w:r w:rsidR="00705D86">
        <w:t>,</w:t>
      </w:r>
      <w:r w:rsidR="0036328F">
        <w:t xml:space="preserve"> </w:t>
      </w:r>
      <w:r w:rsidR="00B54C4D">
        <w:t xml:space="preserve">hyperlink the </w:t>
      </w:r>
      <w:r w:rsidR="00B146E3">
        <w:t>phrase</w:t>
      </w:r>
      <w:r w:rsidR="00B54C4D">
        <w:t xml:space="preserve"> “Merger Plan” </w:t>
      </w:r>
      <w:r w:rsidR="00705D86">
        <w:t>and</w:t>
      </w:r>
      <w:r w:rsidR="00B146E3">
        <w:t xml:space="preserve"> link it to the</w:t>
      </w:r>
      <w:r w:rsidR="00B0123B">
        <w:t xml:space="preserve"> location </w:t>
      </w:r>
      <w:r w:rsidR="009F559F">
        <w:t>in which</w:t>
      </w:r>
      <w:r w:rsidR="00B0123B">
        <w:t xml:space="preserve"> </w:t>
      </w:r>
      <w:r w:rsidR="00B146E3">
        <w:t>current merger plan for the project</w:t>
      </w:r>
      <w:r w:rsidR="00B0123B">
        <w:t xml:space="preserve"> </w:t>
      </w:r>
      <w:r w:rsidR="009F559F">
        <w:t xml:space="preserve">resides </w:t>
      </w:r>
      <w:r w:rsidR="00B0123B">
        <w:t>(i.e., SharePoint)</w:t>
      </w:r>
      <w:r w:rsidR="00C13A14">
        <w:t>.</w:t>
      </w:r>
      <w:r w:rsidR="00E2322C">
        <w:t xml:space="preserve"> </w:t>
      </w:r>
      <w:r w:rsidR="22B8D162">
        <w:t xml:space="preserve">  Based on agency review and comment, either before or during the meeting, potential changes to the Merger Plan </w:t>
      </w:r>
      <w:r w:rsidR="6386F433">
        <w:t xml:space="preserve">will be discussed in Section </w:t>
      </w:r>
      <w:r w:rsidR="0073368E">
        <w:t>6</w:t>
      </w:r>
      <w:r w:rsidR="6386F433">
        <w:t>.</w:t>
      </w:r>
    </w:p>
    <w:p w:rsidR="00D4698B" w:rsidP="2A43A471" w:rsidRDefault="3317F68C" w14:paraId="2287A174" w14:textId="0744A162">
      <w:pPr>
        <w:spacing w:after="120"/>
        <w:rPr>
          <w:rFonts w:ascii="Calibri" w:hAnsi="Calibri" w:eastAsia="Calibri" w:cs="Calibri"/>
          <w:color w:val="000000" w:themeColor="text1"/>
        </w:rPr>
      </w:pPr>
      <w:r w:rsidRPr="2A43A471">
        <w:rPr>
          <w:rFonts w:ascii="Calibri" w:hAnsi="Calibri" w:eastAsia="Calibri" w:cs="Calibri"/>
          <w:color w:val="FF0000"/>
        </w:rPr>
        <w:t>Example Text</w:t>
      </w:r>
      <w:r>
        <w:t xml:space="preserve"> </w:t>
      </w:r>
      <w:r w:rsidR="00D4698B">
        <w:t xml:space="preserve">The project is included in the French Broad River Metropolitan Planning Organization’s (FBRMPO) in their 2015 Long Range Transportation Plan (LRTP).  </w:t>
      </w:r>
      <w:r w:rsidR="00F11509">
        <w:t xml:space="preserve">The plan lists the project as their fifth highest priority.  </w:t>
      </w:r>
      <w:r w:rsidR="00D4698B">
        <w:t xml:space="preserve">The project is included in the current 2018-2027 STIP as project </w:t>
      </w:r>
      <w:r w:rsidR="00A801A4">
        <w:t>E-8461</w:t>
      </w:r>
      <w:r w:rsidR="00D4698B">
        <w:t xml:space="preserve"> and is being managed by NCDOT Project Management Unit. Right-of-way acquisition and construction are scheduled to begin in 2022 and 2025, respectively.</w:t>
      </w:r>
      <w:r w:rsidR="00A16742">
        <w:t xml:space="preserve">  The current costs for the project as estimated in the current STIP are shown in Table 1.  </w:t>
      </w:r>
      <w:r w:rsidR="6964B2B4">
        <w:t xml:space="preserve">The proposed project schedule is included in Table </w:t>
      </w:r>
      <w:r w:rsidR="004506E5">
        <w:t xml:space="preserve">2 </w:t>
      </w:r>
      <w:r w:rsidR="009B29C7">
        <w:t>and is based on the</w:t>
      </w:r>
      <w:r w:rsidR="6964B2B4">
        <w:t xml:space="preserve"> </w:t>
      </w:r>
      <w:r w:rsidRPr="00BB68DC" w:rsidR="6964B2B4">
        <w:t>Merger Plan</w:t>
      </w:r>
      <w:r w:rsidRPr="00BB68DC" w:rsidR="00BB68DC">
        <w:t>.</w:t>
      </w:r>
      <w:r w:rsidRPr="00BB68DC" w:rsidR="00BB68DC">
        <w:rPr>
          <w:u w:val="single"/>
        </w:rPr>
        <w:t xml:space="preserve"> </w:t>
      </w:r>
      <w:r w:rsidR="00A16742">
        <w:t xml:space="preserve">The schedule </w:t>
      </w:r>
      <w:r w:rsidR="003C6C79">
        <w:t>and cost estimates are</w:t>
      </w:r>
      <w:r w:rsidR="00A16742">
        <w:t xml:space="preserve"> draft and subject to change.</w:t>
      </w:r>
    </w:p>
    <w:p w:rsidR="00B65794" w:rsidP="1161B0FE" w:rsidRDefault="00B65794" w14:paraId="70D4163A" w14:textId="745B611B">
      <w:pPr>
        <w:spacing w:after="120"/>
        <w:rPr>
          <w:b/>
          <w:bCs/>
        </w:rPr>
      </w:pPr>
    </w:p>
    <w:p w:rsidR="00A16742" w:rsidP="00AA5E9E" w:rsidRDefault="00A16742" w14:paraId="0157BF79" w14:textId="27B1F36B">
      <w:pPr>
        <w:spacing w:after="120"/>
      </w:pPr>
      <w:r w:rsidRPr="00AA5E9E">
        <w:rPr>
          <w:b/>
          <w:bCs/>
        </w:rPr>
        <w:t>Table 1.</w:t>
      </w:r>
      <w:r>
        <w:t xml:space="preserve">  2018-2027 STIP </w:t>
      </w:r>
      <w:r w:rsidR="00A50F62">
        <w:t>E-8461</w:t>
      </w:r>
      <w:r>
        <w:t xml:space="preserve"> Cost Estimate</w:t>
      </w:r>
    </w:p>
    <w:tbl>
      <w:tblPr>
        <w:tblStyle w:val="TableGrid"/>
        <w:tblW w:w="0" w:type="auto"/>
        <w:tblLook w:val="04A0" w:firstRow="1" w:lastRow="0" w:firstColumn="1" w:lastColumn="0" w:noHBand="0" w:noVBand="1"/>
      </w:tblPr>
      <w:tblGrid>
        <w:gridCol w:w="4675"/>
        <w:gridCol w:w="4675"/>
      </w:tblGrid>
      <w:tr w:rsidR="00A16742" w:rsidTr="00A16742" w14:paraId="13A200D6" w14:textId="77777777">
        <w:tc>
          <w:tcPr>
            <w:tcW w:w="4675" w:type="dxa"/>
          </w:tcPr>
          <w:p w:rsidR="00A16742" w:rsidP="00D4698B" w:rsidRDefault="00A16742" w14:paraId="5E7157C8" w14:textId="151E2557">
            <w:pPr>
              <w:spacing w:after="120"/>
            </w:pPr>
            <w:r>
              <w:lastRenderedPageBreak/>
              <w:t>Phase</w:t>
            </w:r>
          </w:p>
        </w:tc>
        <w:tc>
          <w:tcPr>
            <w:tcW w:w="4675" w:type="dxa"/>
          </w:tcPr>
          <w:p w:rsidR="00A16742" w:rsidP="003C6C79" w:rsidRDefault="003C6C79" w14:paraId="3D4177E9" w14:textId="4653223A">
            <w:pPr>
              <w:spacing w:after="120"/>
              <w:jc w:val="center"/>
            </w:pPr>
            <w:r>
              <w:t>Estimated Costs</w:t>
            </w:r>
          </w:p>
        </w:tc>
      </w:tr>
      <w:tr w:rsidR="00A16742" w:rsidTr="00A16742" w14:paraId="6681BCAB" w14:textId="77777777">
        <w:tc>
          <w:tcPr>
            <w:tcW w:w="4675" w:type="dxa"/>
          </w:tcPr>
          <w:p w:rsidR="00A16742" w:rsidP="00D4698B" w:rsidRDefault="00A16742" w14:paraId="4906C764" w14:textId="27247BA8">
            <w:pPr>
              <w:spacing w:after="120"/>
            </w:pPr>
            <w:r>
              <w:t>Prior Years Cost</w:t>
            </w:r>
          </w:p>
        </w:tc>
        <w:tc>
          <w:tcPr>
            <w:tcW w:w="4675" w:type="dxa"/>
          </w:tcPr>
          <w:p w:rsidR="00A16742" w:rsidP="003C6C79" w:rsidRDefault="003C6C79" w14:paraId="241C2344" w14:textId="3DA890A2">
            <w:pPr>
              <w:spacing w:after="120"/>
              <w:jc w:val="center"/>
            </w:pPr>
            <w:r>
              <w:t>$1,200,000</w:t>
            </w:r>
          </w:p>
        </w:tc>
      </w:tr>
      <w:tr w:rsidR="00A16742" w:rsidTr="00A16742" w14:paraId="691B3E22" w14:textId="77777777">
        <w:tc>
          <w:tcPr>
            <w:tcW w:w="4675" w:type="dxa"/>
          </w:tcPr>
          <w:p w:rsidR="00A16742" w:rsidP="00D4698B" w:rsidRDefault="00A16742" w14:paraId="1A2FEB94" w14:textId="7782183F">
            <w:pPr>
              <w:spacing w:after="120"/>
            </w:pPr>
            <w:r>
              <w:t>Right of Way</w:t>
            </w:r>
          </w:p>
        </w:tc>
        <w:tc>
          <w:tcPr>
            <w:tcW w:w="4675" w:type="dxa"/>
          </w:tcPr>
          <w:p w:rsidR="00A16742" w:rsidP="003C6C79" w:rsidRDefault="003C6C79" w14:paraId="3B6D3F1E" w14:textId="7EB00DBF">
            <w:pPr>
              <w:spacing w:after="120"/>
              <w:jc w:val="center"/>
            </w:pPr>
            <w:r>
              <w:t>$1,200,000</w:t>
            </w:r>
          </w:p>
        </w:tc>
      </w:tr>
      <w:tr w:rsidR="00A16742" w:rsidTr="00A16742" w14:paraId="2CB214C8" w14:textId="77777777">
        <w:tc>
          <w:tcPr>
            <w:tcW w:w="4675" w:type="dxa"/>
          </w:tcPr>
          <w:p w:rsidR="00A16742" w:rsidP="00D4698B" w:rsidRDefault="00A16742" w14:paraId="552B8F31" w14:textId="78525449">
            <w:pPr>
              <w:spacing w:after="120"/>
            </w:pPr>
            <w:r>
              <w:t>Utilities</w:t>
            </w:r>
          </w:p>
        </w:tc>
        <w:tc>
          <w:tcPr>
            <w:tcW w:w="4675" w:type="dxa"/>
          </w:tcPr>
          <w:p w:rsidR="00A16742" w:rsidP="003C6C79" w:rsidRDefault="003C6C79" w14:paraId="032139C6" w14:textId="1D3837B0">
            <w:pPr>
              <w:spacing w:after="120"/>
              <w:jc w:val="center"/>
            </w:pPr>
            <w:r>
              <w:t>$600,000</w:t>
            </w:r>
          </w:p>
        </w:tc>
      </w:tr>
      <w:tr w:rsidR="00A16742" w:rsidTr="00A16742" w14:paraId="280B3B49" w14:textId="77777777">
        <w:tc>
          <w:tcPr>
            <w:tcW w:w="4675" w:type="dxa"/>
          </w:tcPr>
          <w:p w:rsidR="00A16742" w:rsidP="00D4698B" w:rsidRDefault="00A16742" w14:paraId="39E740AD" w14:textId="347FB621">
            <w:pPr>
              <w:spacing w:after="120"/>
            </w:pPr>
            <w:r>
              <w:t>Construction Total</w:t>
            </w:r>
          </w:p>
        </w:tc>
        <w:tc>
          <w:tcPr>
            <w:tcW w:w="4675" w:type="dxa"/>
          </w:tcPr>
          <w:p w:rsidR="00A16742" w:rsidP="003C6C79" w:rsidRDefault="003C6C79" w14:paraId="77A8F6A6" w14:textId="799BDF09">
            <w:pPr>
              <w:spacing w:after="120"/>
              <w:jc w:val="center"/>
            </w:pPr>
            <w:r>
              <w:t>$20,000,000</w:t>
            </w:r>
          </w:p>
        </w:tc>
      </w:tr>
      <w:tr w:rsidR="00A16742" w:rsidTr="00A16742" w14:paraId="1B40EAF2" w14:textId="77777777">
        <w:tc>
          <w:tcPr>
            <w:tcW w:w="4675" w:type="dxa"/>
          </w:tcPr>
          <w:p w:rsidRPr="003C6C79" w:rsidR="00A16742" w:rsidP="00D4698B" w:rsidRDefault="003C6C79" w14:paraId="46D40ACF" w14:textId="47505FA1">
            <w:pPr>
              <w:spacing w:after="120"/>
              <w:rPr>
                <w:b/>
              </w:rPr>
            </w:pPr>
            <w:r w:rsidRPr="003C6C79">
              <w:rPr>
                <w:b/>
              </w:rPr>
              <w:t>Total</w:t>
            </w:r>
          </w:p>
        </w:tc>
        <w:tc>
          <w:tcPr>
            <w:tcW w:w="4675" w:type="dxa"/>
          </w:tcPr>
          <w:p w:rsidRPr="003C6C79" w:rsidR="00A16742" w:rsidP="003C6C79" w:rsidRDefault="003C6C79" w14:paraId="4FAF82FC" w14:textId="6CC984B8">
            <w:pPr>
              <w:spacing w:after="120"/>
              <w:jc w:val="center"/>
              <w:rPr>
                <w:b/>
              </w:rPr>
            </w:pPr>
            <w:r w:rsidRPr="003C6C79">
              <w:rPr>
                <w:b/>
              </w:rPr>
              <w:t>$23,000,000</w:t>
            </w:r>
          </w:p>
        </w:tc>
      </w:tr>
    </w:tbl>
    <w:p w:rsidR="00A16742" w:rsidP="00D4698B" w:rsidRDefault="00A16742" w14:paraId="5C2296AC" w14:textId="77777777">
      <w:pPr>
        <w:spacing w:after="120"/>
      </w:pPr>
    </w:p>
    <w:p w:rsidR="00CE77BC" w:rsidP="00AA5E9E" w:rsidRDefault="00CE77BC" w14:paraId="3792CA58" w14:textId="67495C53">
      <w:r w:rsidRPr="00AA5E9E">
        <w:rPr>
          <w:b/>
          <w:bCs/>
        </w:rPr>
        <w:t>Table 2.</w:t>
      </w:r>
      <w:r>
        <w:t xml:space="preserve">  Draft </w:t>
      </w:r>
      <w:r w:rsidR="00A801A4">
        <w:t>E-8461</w:t>
      </w:r>
      <w:r>
        <w:t xml:space="preserve"> Project Schedule* </w:t>
      </w:r>
    </w:p>
    <w:tbl>
      <w:tblPr>
        <w:tblStyle w:val="TableGrid"/>
        <w:tblW w:w="0" w:type="auto"/>
        <w:tblLook w:val="04A0" w:firstRow="1" w:lastRow="0" w:firstColumn="1" w:lastColumn="0" w:noHBand="0" w:noVBand="1"/>
      </w:tblPr>
      <w:tblGrid>
        <w:gridCol w:w="3340"/>
        <w:gridCol w:w="2785"/>
        <w:gridCol w:w="3225"/>
      </w:tblGrid>
      <w:tr w:rsidR="00B23556" w:rsidTr="00B23556" w14:paraId="78117091" w14:textId="77777777">
        <w:tc>
          <w:tcPr>
            <w:tcW w:w="3340" w:type="dxa"/>
          </w:tcPr>
          <w:p w:rsidRPr="00B23556" w:rsidR="00B23556" w:rsidP="00264B0A" w:rsidRDefault="00B23556" w14:paraId="4632E573" w14:textId="671FD6F2">
            <w:pPr>
              <w:rPr>
                <w:b/>
                <w:bCs/>
              </w:rPr>
            </w:pPr>
            <w:r w:rsidRPr="00B23556">
              <w:rPr>
                <w:b/>
                <w:bCs/>
              </w:rPr>
              <w:t>Milestone</w:t>
            </w:r>
          </w:p>
        </w:tc>
        <w:tc>
          <w:tcPr>
            <w:tcW w:w="2785" w:type="dxa"/>
          </w:tcPr>
          <w:p w:rsidRPr="00B23556" w:rsidR="00B23556" w:rsidP="00264B0A" w:rsidRDefault="00B23556" w14:paraId="2999457E" w14:textId="5C3EDD59">
            <w:pPr>
              <w:rPr>
                <w:b/>
                <w:bCs/>
              </w:rPr>
            </w:pPr>
            <w:r w:rsidRPr="00B23556">
              <w:rPr>
                <w:b/>
                <w:bCs/>
              </w:rPr>
              <w:t>Format</w:t>
            </w:r>
          </w:p>
        </w:tc>
        <w:tc>
          <w:tcPr>
            <w:tcW w:w="3225" w:type="dxa"/>
          </w:tcPr>
          <w:p w:rsidRPr="00B23556" w:rsidR="00B23556" w:rsidP="00264B0A" w:rsidRDefault="00B23556" w14:paraId="780BCF02" w14:textId="69CB2A04">
            <w:pPr>
              <w:rPr>
                <w:b/>
                <w:bCs/>
              </w:rPr>
            </w:pPr>
            <w:r w:rsidRPr="00B23556">
              <w:rPr>
                <w:b/>
                <w:bCs/>
              </w:rPr>
              <w:t>Anticipated Date</w:t>
            </w:r>
          </w:p>
        </w:tc>
      </w:tr>
      <w:tr w:rsidR="00B23556" w:rsidTr="00B23556" w14:paraId="53D16BE3" w14:textId="77777777">
        <w:tc>
          <w:tcPr>
            <w:tcW w:w="3340" w:type="dxa"/>
          </w:tcPr>
          <w:p w:rsidR="00B23556" w:rsidP="00B23556" w:rsidRDefault="00B23556" w14:paraId="15695170" w14:textId="6F687FAB">
            <w:r>
              <w:t>Combined CP 2/ CP 2A meeting</w:t>
            </w:r>
          </w:p>
        </w:tc>
        <w:tc>
          <w:tcPr>
            <w:tcW w:w="2785" w:type="dxa"/>
          </w:tcPr>
          <w:p w:rsidR="00B23556" w:rsidP="00B23556" w:rsidRDefault="00286E56" w14:paraId="1376DB9F" w14:textId="40D0B602">
            <w:r>
              <w:t>Virtual/Packet Concurrence</w:t>
            </w:r>
          </w:p>
        </w:tc>
        <w:tc>
          <w:tcPr>
            <w:tcW w:w="3225" w:type="dxa"/>
          </w:tcPr>
          <w:p w:rsidR="00B23556" w:rsidP="00B23556" w:rsidRDefault="009F7203" w14:paraId="0465E366" w14:textId="050AB2EB">
            <w:r>
              <w:t>February</w:t>
            </w:r>
            <w:r w:rsidR="00B23556">
              <w:t xml:space="preserve"> 202</w:t>
            </w:r>
            <w:r>
              <w:t>2</w:t>
            </w:r>
          </w:p>
        </w:tc>
      </w:tr>
      <w:tr w:rsidR="00B23556" w:rsidTr="00B23556" w14:paraId="2C09B34E" w14:textId="77777777">
        <w:tc>
          <w:tcPr>
            <w:tcW w:w="3340" w:type="dxa"/>
          </w:tcPr>
          <w:p w:rsidR="00B23556" w:rsidP="00B23556" w:rsidRDefault="00B23556" w14:paraId="5016EA05" w14:textId="7AB74C00">
            <w:r>
              <w:t>Public Meeting</w:t>
            </w:r>
          </w:p>
        </w:tc>
        <w:tc>
          <w:tcPr>
            <w:tcW w:w="2785" w:type="dxa"/>
          </w:tcPr>
          <w:p w:rsidR="00B23556" w:rsidP="00B23556" w:rsidRDefault="00286E56" w14:paraId="1A1CA852" w14:textId="6393549C">
            <w:r>
              <w:t>Virtual Meeting</w:t>
            </w:r>
          </w:p>
        </w:tc>
        <w:tc>
          <w:tcPr>
            <w:tcW w:w="3225" w:type="dxa"/>
          </w:tcPr>
          <w:p w:rsidR="00B23556" w:rsidP="00B23556" w:rsidRDefault="00B23556" w14:paraId="587217D9" w14:textId="067EA1D0">
            <w:r>
              <w:t>April 202</w:t>
            </w:r>
            <w:r w:rsidR="009F7203">
              <w:t>2</w:t>
            </w:r>
          </w:p>
        </w:tc>
      </w:tr>
      <w:tr w:rsidR="00B23556" w:rsidTr="00B23556" w14:paraId="6436C893" w14:textId="77777777">
        <w:tc>
          <w:tcPr>
            <w:tcW w:w="3340" w:type="dxa"/>
          </w:tcPr>
          <w:p w:rsidR="00B23556" w:rsidP="00B23556" w:rsidRDefault="009E086E" w14:paraId="2424C745" w14:textId="10CFABF2">
            <w:r>
              <w:t>CP 3 (LEDPA Determination)</w:t>
            </w:r>
          </w:p>
        </w:tc>
        <w:tc>
          <w:tcPr>
            <w:tcW w:w="2785" w:type="dxa"/>
          </w:tcPr>
          <w:p w:rsidR="00B23556" w:rsidP="00B23556" w:rsidRDefault="009E086E" w14:paraId="753FC505" w14:textId="778D7551">
            <w:r>
              <w:t>Virtual Meeting</w:t>
            </w:r>
          </w:p>
        </w:tc>
        <w:tc>
          <w:tcPr>
            <w:tcW w:w="3225" w:type="dxa"/>
          </w:tcPr>
          <w:p w:rsidR="00B23556" w:rsidP="00B23556" w:rsidRDefault="009E086E" w14:paraId="31FD79CF" w14:textId="7B75D79A">
            <w:r>
              <w:t>May 2022</w:t>
            </w:r>
          </w:p>
        </w:tc>
      </w:tr>
      <w:tr w:rsidR="00B23556" w:rsidTr="00B23556" w14:paraId="648940C5" w14:textId="77777777">
        <w:tc>
          <w:tcPr>
            <w:tcW w:w="3340" w:type="dxa"/>
          </w:tcPr>
          <w:p w:rsidR="00B23556" w:rsidP="00B23556" w:rsidRDefault="00E31F06" w14:paraId="24B98918" w14:textId="7B108147">
            <w:r>
              <w:t>Categorical Exclusion</w:t>
            </w:r>
            <w:r w:rsidR="00C119AF">
              <w:t xml:space="preserve"> (CE)</w:t>
            </w:r>
          </w:p>
        </w:tc>
        <w:tc>
          <w:tcPr>
            <w:tcW w:w="2785" w:type="dxa"/>
          </w:tcPr>
          <w:p w:rsidR="00B23556" w:rsidP="00B23556" w:rsidRDefault="00FC32ED" w14:paraId="7CEC1558" w14:textId="6B3F457C">
            <w:r>
              <w:t>Electronic Distribution</w:t>
            </w:r>
          </w:p>
        </w:tc>
        <w:tc>
          <w:tcPr>
            <w:tcW w:w="3225" w:type="dxa"/>
          </w:tcPr>
          <w:p w:rsidR="00B23556" w:rsidP="00B23556" w:rsidRDefault="00B23556" w14:paraId="7CCD2173" w14:textId="43126421">
            <w:r>
              <w:t>September 202</w:t>
            </w:r>
            <w:r w:rsidR="00FC32ED">
              <w:t>2</w:t>
            </w:r>
          </w:p>
        </w:tc>
      </w:tr>
      <w:tr w:rsidR="00B23556" w:rsidTr="00B23556" w14:paraId="01876F7C" w14:textId="77777777">
        <w:tc>
          <w:tcPr>
            <w:tcW w:w="3340" w:type="dxa"/>
          </w:tcPr>
          <w:p w:rsidR="00B23556" w:rsidP="00B23556" w:rsidRDefault="002511C5" w14:paraId="0086B97C" w14:textId="787215D9">
            <w:r>
              <w:t>CP 4A</w:t>
            </w:r>
          </w:p>
        </w:tc>
        <w:tc>
          <w:tcPr>
            <w:tcW w:w="2785" w:type="dxa"/>
          </w:tcPr>
          <w:p w:rsidR="00B23556" w:rsidP="00B23556" w:rsidRDefault="00FC32ED" w14:paraId="79103A0E" w14:textId="4B3C1886">
            <w:r>
              <w:t>Packet Concurrence</w:t>
            </w:r>
          </w:p>
        </w:tc>
        <w:tc>
          <w:tcPr>
            <w:tcW w:w="3225" w:type="dxa"/>
          </w:tcPr>
          <w:p w:rsidR="00B23556" w:rsidP="00B23556" w:rsidRDefault="00FC32ED" w14:paraId="4B867D73" w14:textId="0FFCEA81">
            <w:r>
              <w:t xml:space="preserve">October </w:t>
            </w:r>
            <w:r w:rsidR="00F67A9A">
              <w:t>2022</w:t>
            </w:r>
          </w:p>
        </w:tc>
      </w:tr>
      <w:tr w:rsidR="002511C5" w:rsidTr="00B23556" w14:paraId="0842658E" w14:textId="77777777">
        <w:tc>
          <w:tcPr>
            <w:tcW w:w="3340" w:type="dxa"/>
          </w:tcPr>
          <w:p w:rsidR="002511C5" w:rsidP="002511C5" w:rsidRDefault="00AF292B" w14:paraId="7AF9BAE5" w14:textId="332E3121">
            <w:r>
              <w:t>CP 4B</w:t>
            </w:r>
          </w:p>
        </w:tc>
        <w:tc>
          <w:tcPr>
            <w:tcW w:w="2785" w:type="dxa"/>
          </w:tcPr>
          <w:p w:rsidR="002511C5" w:rsidP="002511C5" w:rsidRDefault="00AF292B" w14:paraId="5983EC29" w14:textId="5C9AF731">
            <w:r>
              <w:t>Virtual Meeting</w:t>
            </w:r>
          </w:p>
        </w:tc>
        <w:tc>
          <w:tcPr>
            <w:tcW w:w="3225" w:type="dxa"/>
          </w:tcPr>
          <w:p w:rsidR="002511C5" w:rsidP="002511C5" w:rsidRDefault="001C198F" w14:paraId="3507D350" w14:textId="0E7DE85B">
            <w:r>
              <w:t>November 2022</w:t>
            </w:r>
          </w:p>
        </w:tc>
      </w:tr>
      <w:tr w:rsidR="00AF292B" w:rsidTr="00B23556" w14:paraId="00406D76" w14:textId="77777777">
        <w:tc>
          <w:tcPr>
            <w:tcW w:w="3340" w:type="dxa"/>
          </w:tcPr>
          <w:p w:rsidR="00AF292B" w:rsidP="002511C5" w:rsidRDefault="00AF292B" w14:paraId="11517DCF" w14:textId="61AC1ABA">
            <w:r>
              <w:t>CP 4C</w:t>
            </w:r>
          </w:p>
        </w:tc>
        <w:tc>
          <w:tcPr>
            <w:tcW w:w="2785" w:type="dxa"/>
          </w:tcPr>
          <w:p w:rsidR="00AF292B" w:rsidP="002511C5" w:rsidRDefault="00AF292B" w14:paraId="7E5426B1" w14:textId="13C27A87">
            <w:r>
              <w:t>Virtual Meeting</w:t>
            </w:r>
          </w:p>
        </w:tc>
        <w:tc>
          <w:tcPr>
            <w:tcW w:w="3225" w:type="dxa"/>
          </w:tcPr>
          <w:p w:rsidR="00AF292B" w:rsidP="002511C5" w:rsidRDefault="001C198F" w14:paraId="7D5D52DA" w14:textId="7C7216E8">
            <w:r>
              <w:t>December 2022</w:t>
            </w:r>
          </w:p>
        </w:tc>
      </w:tr>
      <w:tr w:rsidR="00AF292B" w:rsidTr="00B23556" w14:paraId="6F6DCCA5" w14:textId="77777777">
        <w:tc>
          <w:tcPr>
            <w:tcW w:w="3340" w:type="dxa"/>
          </w:tcPr>
          <w:p w:rsidR="00AF292B" w:rsidP="00AF292B" w:rsidRDefault="00AF71E5" w14:paraId="7BC24B77" w14:textId="4F973765">
            <w:r>
              <w:t xml:space="preserve">Begin </w:t>
            </w:r>
            <w:r w:rsidR="00AF292B">
              <w:t>ROW</w:t>
            </w:r>
            <w:r w:rsidR="002744DC">
              <w:t xml:space="preserve"> Acquisition</w:t>
            </w:r>
          </w:p>
        </w:tc>
        <w:tc>
          <w:tcPr>
            <w:tcW w:w="2785" w:type="dxa"/>
          </w:tcPr>
          <w:p w:rsidR="00AF292B" w:rsidP="00AF292B" w:rsidRDefault="00AF292B" w14:paraId="67D6133B" w14:textId="77777777"/>
        </w:tc>
        <w:tc>
          <w:tcPr>
            <w:tcW w:w="3225" w:type="dxa"/>
          </w:tcPr>
          <w:p w:rsidR="00AF292B" w:rsidP="00AF292B" w:rsidRDefault="00AF292B" w14:paraId="1AACBA25" w14:textId="33982F57">
            <w:r>
              <w:t>August 2023</w:t>
            </w:r>
          </w:p>
        </w:tc>
      </w:tr>
      <w:tr w:rsidR="00AF292B" w:rsidTr="00B23556" w14:paraId="4AD63076" w14:textId="77777777">
        <w:tc>
          <w:tcPr>
            <w:tcW w:w="3340" w:type="dxa"/>
          </w:tcPr>
          <w:p w:rsidR="00AF292B" w:rsidP="00AF292B" w:rsidRDefault="00AF71E5" w14:paraId="43CCAAA9" w14:textId="433C8D6F">
            <w:r>
              <w:t>Begin Construction</w:t>
            </w:r>
          </w:p>
        </w:tc>
        <w:tc>
          <w:tcPr>
            <w:tcW w:w="2785" w:type="dxa"/>
          </w:tcPr>
          <w:p w:rsidR="00AF292B" w:rsidP="00AF292B" w:rsidRDefault="00AF292B" w14:paraId="4711DCA8" w14:textId="77777777"/>
        </w:tc>
        <w:tc>
          <w:tcPr>
            <w:tcW w:w="3225" w:type="dxa"/>
          </w:tcPr>
          <w:p w:rsidR="00AF292B" w:rsidP="00AF292B" w:rsidRDefault="00AF292B" w14:paraId="1DBBDB3B" w14:textId="705CDEEA">
            <w:r>
              <w:t>August 2025</w:t>
            </w:r>
          </w:p>
        </w:tc>
      </w:tr>
    </w:tbl>
    <w:p w:rsidRPr="007C1616" w:rsidR="00CE77BC" w:rsidP="00CE77BC" w:rsidRDefault="00CE77BC" w14:paraId="160E0A64" w14:textId="35E0ADB2">
      <w:r>
        <w:t>*Draft, subject to change</w:t>
      </w:r>
    </w:p>
    <w:p w:rsidR="000E49C0" w:rsidP="000E49C0" w:rsidRDefault="000E49C0" w14:paraId="209DCC00" w14:textId="204C7082">
      <w:pPr>
        <w:spacing w:after="120"/>
        <w:outlineLvl w:val="1"/>
        <w:rPr>
          <w:b/>
        </w:rPr>
      </w:pPr>
      <w:r>
        <w:rPr>
          <w:b/>
        </w:rPr>
        <w:t>1.</w:t>
      </w:r>
      <w:r w:rsidR="00C80708">
        <w:rPr>
          <w:b/>
        </w:rPr>
        <w:t>3</w:t>
      </w:r>
      <w:r>
        <w:rPr>
          <w:b/>
        </w:rPr>
        <w:tab/>
      </w:r>
      <w:r w:rsidRPr="00360F7B" w:rsidR="00A16742">
        <w:rPr>
          <w:b/>
        </w:rPr>
        <w:t xml:space="preserve">Other STIP Projects </w:t>
      </w:r>
      <w:r w:rsidR="00360F7B">
        <w:rPr>
          <w:b/>
        </w:rPr>
        <w:t>N</w:t>
      </w:r>
      <w:r w:rsidRPr="00360F7B" w:rsidR="00A16742">
        <w:rPr>
          <w:b/>
        </w:rPr>
        <w:t>earby</w:t>
      </w:r>
    </w:p>
    <w:p w:rsidRPr="00360F7B" w:rsidR="0076629B" w:rsidP="0076629B" w:rsidRDefault="0076629B" w14:paraId="7A0E1779" w14:textId="44C1988F">
      <w:pPr>
        <w:pStyle w:val="Hidden"/>
      </w:pPr>
      <w:r>
        <w:t xml:space="preserve">Generally, projects are listed that are between 1 to </w:t>
      </w:r>
      <w:r w:rsidR="00FF75EA">
        <w:t>3</w:t>
      </w:r>
      <w:r>
        <w:t xml:space="preserve"> miles from the project centerline.  This may vary based on project location and length.</w:t>
      </w:r>
    </w:p>
    <w:p w:rsidR="61710141" w:rsidP="380D4D3E" w:rsidRDefault="61710141" w14:paraId="67C1EE89" w14:textId="149EE427">
      <w:pPr>
        <w:pStyle w:val="Hidden"/>
        <w:rPr>
          <w:rFonts w:ascii="Calibri" w:hAnsi="Calibri" w:eastAsia="Calibri" w:cs="Calibri"/>
          <w:b w:val="0"/>
          <w:color w:val="000000" w:themeColor="text1"/>
          <w:sz w:val="22"/>
          <w:szCs w:val="22"/>
        </w:rPr>
      </w:pPr>
      <w:r w:rsidRPr="380D4D3E">
        <w:rPr>
          <w:rFonts w:ascii="Calibri" w:hAnsi="Calibri" w:eastAsia="Calibri" w:cs="Calibri"/>
          <w:b w:val="0"/>
          <w:color w:val="FF0000"/>
          <w:sz w:val="22"/>
          <w:szCs w:val="22"/>
        </w:rPr>
        <w:t>Example Text</w:t>
      </w:r>
    </w:p>
    <w:p w:rsidR="00E12511" w:rsidP="00E12511" w:rsidRDefault="00E12511" w14:paraId="24A8ADC6" w14:textId="4AED2F28">
      <w:pPr>
        <w:pStyle w:val="ListParagraph"/>
        <w:numPr>
          <w:ilvl w:val="0"/>
          <w:numId w:val="2"/>
        </w:numPr>
        <w:spacing w:after="120"/>
      </w:pPr>
      <w:r>
        <w:t>STIP Project I-7777, construct an eastbound, multi-lane, low-angle bridge between Swannanoa in Buncomb</w:t>
      </w:r>
      <w:r w:rsidR="00162A0B">
        <w:t>e</w:t>
      </w:r>
      <w:r>
        <w:t xml:space="preserve"> County to Salisbury in Rowan County (</w:t>
      </w:r>
      <w:proofErr w:type="spellStart"/>
      <w:r>
        <w:t>Swanna</w:t>
      </w:r>
      <w:proofErr w:type="spellEnd"/>
      <w:r>
        <w:t xml:space="preserve">-bury </w:t>
      </w:r>
      <w:proofErr w:type="spellStart"/>
      <w:r>
        <w:t>Glideway</w:t>
      </w:r>
      <w:proofErr w:type="spellEnd"/>
      <w:r>
        <w:t>).</w:t>
      </w:r>
    </w:p>
    <w:p w:rsidR="00587FE4" w:rsidP="00587FE4" w:rsidRDefault="00587FE4" w14:paraId="3D282FA0" w14:textId="522F2D5E">
      <w:pPr>
        <w:pStyle w:val="ListParagraph"/>
        <w:numPr>
          <w:ilvl w:val="0"/>
          <w:numId w:val="2"/>
        </w:numPr>
        <w:spacing w:after="120"/>
      </w:pPr>
      <w:r>
        <w:t>STIP Projects U-6046 and U-5832, combined, propose upgrades to Swannanoa River Road (</w:t>
      </w:r>
      <w:r w:rsidR="00631965">
        <w:t xml:space="preserve">NC </w:t>
      </w:r>
      <w:r>
        <w:t>81) from Biltmore Road to Tunnel Road (US 70).</w:t>
      </w:r>
    </w:p>
    <w:p w:rsidR="00587FE4" w:rsidP="00587FE4" w:rsidRDefault="00587FE4" w14:paraId="05E1FFB2" w14:textId="31C3BCA1">
      <w:pPr>
        <w:pStyle w:val="ListParagraph"/>
        <w:numPr>
          <w:ilvl w:val="0"/>
          <w:numId w:val="2"/>
        </w:numPr>
        <w:spacing w:after="120"/>
      </w:pPr>
      <w:r>
        <w:t xml:space="preserve">STIP Project U-5019 will construct an interconnected network of pedestrian, bicycle, </w:t>
      </w:r>
      <w:proofErr w:type="gramStart"/>
      <w:r>
        <w:t>roadway</w:t>
      </w:r>
      <w:proofErr w:type="gramEnd"/>
      <w:r>
        <w:t xml:space="preserve"> and streetscape improvements in southwest Asheville including RADTIP Improvements. </w:t>
      </w:r>
    </w:p>
    <w:p w:rsidR="00587FE4" w:rsidP="00587FE4" w:rsidRDefault="00587FE4" w14:paraId="22E82668" w14:textId="3942E902">
      <w:pPr>
        <w:pStyle w:val="ListParagraph"/>
        <w:numPr>
          <w:ilvl w:val="0"/>
          <w:numId w:val="2"/>
        </w:numPr>
        <w:spacing w:after="120"/>
      </w:pPr>
      <w:r>
        <w:t>STIP Project I-2513, the proposed I-26 Connector project, would construct approximately 7 miles of freeway that would connect I-26 in southwest Asheville</w:t>
      </w:r>
      <w:r w:rsidR="00360F7B">
        <w:t xml:space="preserve"> </w:t>
      </w:r>
      <w:r>
        <w:t>to U.S. 19/23/70 in northwest Asheville.</w:t>
      </w:r>
    </w:p>
    <w:p w:rsidR="0076629B" w:rsidP="0076629B" w:rsidRDefault="0076629B" w14:paraId="56F1CBCA" w14:textId="77777777">
      <w:pPr>
        <w:pStyle w:val="ListParagraph"/>
        <w:spacing w:after="120"/>
      </w:pPr>
    </w:p>
    <w:p w:rsidR="0075484B" w:rsidP="000E49C0" w:rsidRDefault="00D81782" w14:paraId="2C5E12E2" w14:textId="247582F7">
      <w:pPr>
        <w:pStyle w:val="ListParagraph"/>
        <w:numPr>
          <w:ilvl w:val="0"/>
          <w:numId w:val="1"/>
        </w:numPr>
        <w:spacing w:after="120"/>
        <w:ind w:left="360"/>
        <w:outlineLvl w:val="0"/>
        <w:rPr>
          <w:b/>
          <w:sz w:val="24"/>
          <w:szCs w:val="24"/>
        </w:rPr>
      </w:pPr>
      <w:r w:rsidRPr="00D81782">
        <w:rPr>
          <w:b/>
          <w:sz w:val="24"/>
          <w:szCs w:val="24"/>
        </w:rPr>
        <w:t>Existing Conditions</w:t>
      </w:r>
    </w:p>
    <w:p w:rsidRPr="000E49C0" w:rsidR="000E49C0" w:rsidP="000E49C0" w:rsidRDefault="000E49C0" w14:paraId="4B2DF421" w14:textId="530989DD">
      <w:pPr>
        <w:spacing w:after="120"/>
        <w:outlineLvl w:val="1"/>
        <w:rPr>
          <w:b/>
        </w:rPr>
      </w:pPr>
      <w:r w:rsidRPr="000E49C0">
        <w:rPr>
          <w:b/>
        </w:rPr>
        <w:t>2.1</w:t>
      </w:r>
      <w:r w:rsidRPr="000E49C0">
        <w:rPr>
          <w:b/>
        </w:rPr>
        <w:tab/>
      </w:r>
      <w:r>
        <w:rPr>
          <w:b/>
        </w:rPr>
        <w:t>Transportation Features</w:t>
      </w:r>
    </w:p>
    <w:p w:rsidR="00574B24" w:rsidP="00574B24" w:rsidRDefault="00574B24" w14:paraId="5E68F9DE" w14:textId="09993970">
      <w:pPr>
        <w:pStyle w:val="Hidden"/>
      </w:pPr>
      <w:r>
        <w:t xml:space="preserve">At a minimum, this section should include a description of the facility typical section, classification, and </w:t>
      </w:r>
      <w:r w:rsidR="00FD72EB">
        <w:t xml:space="preserve">posted </w:t>
      </w:r>
      <w:r>
        <w:t>speed limit.  It may also include a description of existing structures, existing traffic data, crash data</w:t>
      </w:r>
      <w:r w:rsidR="007044B7">
        <w:t>,</w:t>
      </w:r>
      <w:r w:rsidR="002A34B8">
        <w:t xml:space="preserve"> and/or intermodal connectivity,</w:t>
      </w:r>
      <w:r w:rsidR="007044B7">
        <w:t xml:space="preserve"> especially if any of these data inform project purpose and need</w:t>
      </w:r>
      <w:r>
        <w:t>.</w:t>
      </w:r>
    </w:p>
    <w:p w:rsidR="000E49C0" w:rsidP="380D4D3E" w:rsidRDefault="268F3AE2" w14:paraId="02E17297" w14:textId="165581C5">
      <w:pPr>
        <w:spacing w:after="120"/>
        <w:rPr>
          <w:rFonts w:ascii="Calibri" w:hAnsi="Calibri" w:eastAsia="Calibri" w:cs="Calibri"/>
          <w:color w:val="000000" w:themeColor="text1"/>
        </w:rPr>
      </w:pPr>
      <w:r w:rsidRPr="380D4D3E">
        <w:rPr>
          <w:rFonts w:ascii="Calibri" w:hAnsi="Calibri" w:eastAsia="Calibri" w:cs="Calibri"/>
          <w:color w:val="FF0000"/>
        </w:rPr>
        <w:lastRenderedPageBreak/>
        <w:t>Example Text</w:t>
      </w:r>
      <w:r>
        <w:t xml:space="preserve"> </w:t>
      </w:r>
      <w:r w:rsidR="000E49C0">
        <w:t xml:space="preserve">Amboy Road is a 2-lane undivided roadway with grass shoulders; 2 lanes undivided with 2-foot paved shoulders along Meadow Road from the Amboy Road/Lyman Street intersection to west of the bridge over NS Railroad where it transitions to a 3-lane curb and gutter section to east of the Victoria Street intersection. It then transitions back to a 2-lane undivided shoulder section to the project’s eastern terminus at NC 81/SR 3214 (Biltmore Avenue). </w:t>
      </w:r>
      <w:r w:rsidR="0018736E">
        <w:t xml:space="preserve">Lane widths vary from 11 to 12 feet.  </w:t>
      </w:r>
      <w:r w:rsidR="000E49C0">
        <w:t>The posted speed limit is 45 mph along Amboy Road, and 35 mph along Meadow Road.</w:t>
      </w:r>
    </w:p>
    <w:p w:rsidR="000E49C0" w:rsidP="000E49C0" w:rsidRDefault="000E49C0" w14:paraId="0526B657" w14:textId="5255367C">
      <w:pPr>
        <w:spacing w:after="120"/>
      </w:pPr>
      <w:r>
        <w:t>Existing Amboy Road and Meadow Road are classified as Minor Arterial</w:t>
      </w:r>
      <w:r w:rsidR="4C487E20">
        <w:t>s</w:t>
      </w:r>
      <w:r>
        <w:t xml:space="preserve"> in the NCDOT Functional Classification System. I-240 near the western terminus is classified as an Interstate, and Biltmore Avenue near the eastern terminus is </w:t>
      </w:r>
      <w:r w:rsidR="7E5B3FA6">
        <w:t xml:space="preserve">also </w:t>
      </w:r>
      <w:r>
        <w:t>classified as a Minor Arterial.</w:t>
      </w:r>
    </w:p>
    <w:p w:rsidR="005964D9" w:rsidP="000E49C0" w:rsidRDefault="008E2FB8" w14:paraId="67C7E663" w14:textId="7674E225">
      <w:pPr>
        <w:spacing w:after="120"/>
      </w:pPr>
      <w:r w:rsidRPr="3BE8EDF3">
        <w:rPr>
          <w:b/>
          <w:bCs/>
        </w:rPr>
        <w:t xml:space="preserve">Table </w:t>
      </w:r>
      <w:r>
        <w:rPr>
          <w:b/>
          <w:bCs/>
        </w:rPr>
        <w:t>4</w:t>
      </w:r>
      <w:r>
        <w:t xml:space="preserve"> lists basic information about each facility, including NCDOT’s functional classification, 2016 Average Annual Daily Traffic (AADT), existing lanes, lane width, existing ROW, and posted speed limit</w:t>
      </w:r>
      <w:r w:rsidR="00EC32CD">
        <w:t>.</w:t>
      </w:r>
    </w:p>
    <w:tbl>
      <w:tblPr>
        <w:tblStyle w:val="TableGrid"/>
        <w:tblW w:w="9350" w:type="dxa"/>
        <w:jc w:val="center"/>
        <w:tblLook w:val="04A0" w:firstRow="1" w:lastRow="0" w:firstColumn="1" w:lastColumn="0" w:noHBand="0" w:noVBand="1"/>
      </w:tblPr>
      <w:tblGrid>
        <w:gridCol w:w="1316"/>
        <w:gridCol w:w="1890"/>
        <w:gridCol w:w="843"/>
        <w:gridCol w:w="1020"/>
        <w:gridCol w:w="828"/>
        <w:gridCol w:w="2064"/>
        <w:gridCol w:w="1389"/>
      </w:tblGrid>
      <w:tr w:rsidR="005964D9" w:rsidTr="00A453C5" w14:paraId="388F2133" w14:textId="77777777">
        <w:trPr>
          <w:jc w:val="center"/>
        </w:trPr>
        <w:tc>
          <w:tcPr>
            <w:tcW w:w="9350" w:type="dxa"/>
            <w:gridSpan w:val="7"/>
            <w:vAlign w:val="center"/>
          </w:tcPr>
          <w:p w:rsidR="005964D9" w:rsidP="00A453C5" w:rsidRDefault="005964D9" w14:paraId="3321F3B4" w14:textId="77777777">
            <w:pPr>
              <w:jc w:val="center"/>
              <w:rPr>
                <w:b/>
                <w:bCs/>
              </w:rPr>
            </w:pPr>
            <w:bookmarkStart w:name="_Toc85189167" w:id="0"/>
            <w:r w:rsidRPr="3BE8EDF3">
              <w:rPr>
                <w:b/>
                <w:bCs/>
              </w:rPr>
              <w:t xml:space="preserve">Table </w:t>
            </w:r>
            <w:r w:rsidRPr="3BE8EDF3">
              <w:rPr>
                <w:b/>
                <w:bCs/>
              </w:rPr>
              <w:fldChar w:fldCharType="begin"/>
            </w:r>
            <w:r w:rsidRPr="3BE8EDF3">
              <w:rPr>
                <w:b/>
                <w:bCs/>
              </w:rPr>
              <w:instrText xml:space="preserve"> SEQ Table \* ARABIC </w:instrText>
            </w:r>
            <w:r w:rsidRPr="3BE8EDF3">
              <w:rPr>
                <w:b/>
                <w:bCs/>
              </w:rPr>
              <w:fldChar w:fldCharType="separate"/>
            </w:r>
            <w:r>
              <w:rPr>
                <w:b/>
                <w:bCs/>
                <w:noProof/>
              </w:rPr>
              <w:t>4</w:t>
            </w:r>
            <w:r w:rsidRPr="3BE8EDF3">
              <w:rPr>
                <w:b/>
                <w:bCs/>
              </w:rPr>
              <w:fldChar w:fldCharType="end"/>
            </w:r>
            <w:r w:rsidRPr="3BE8EDF3">
              <w:rPr>
                <w:b/>
                <w:bCs/>
              </w:rPr>
              <w:t>. Existing Roadway Characteristics</w:t>
            </w:r>
            <w:bookmarkEnd w:id="0"/>
          </w:p>
        </w:tc>
      </w:tr>
      <w:tr w:rsidR="005964D9" w:rsidTr="00A453C5" w14:paraId="6D5ADFEC" w14:textId="77777777">
        <w:trPr>
          <w:jc w:val="center"/>
        </w:trPr>
        <w:tc>
          <w:tcPr>
            <w:tcW w:w="3206" w:type="dxa"/>
            <w:gridSpan w:val="2"/>
            <w:vMerge w:val="restart"/>
            <w:vAlign w:val="center"/>
          </w:tcPr>
          <w:p w:rsidR="005964D9" w:rsidP="00A453C5" w:rsidRDefault="005964D9" w14:paraId="65F96F13" w14:textId="77777777">
            <w:pPr>
              <w:jc w:val="center"/>
              <w:rPr>
                <w:b/>
                <w:bCs/>
              </w:rPr>
            </w:pPr>
            <w:r w:rsidRPr="3BE8EDF3">
              <w:rPr>
                <w:b/>
                <w:bCs/>
              </w:rPr>
              <w:t>Facility</w:t>
            </w:r>
          </w:p>
        </w:tc>
        <w:tc>
          <w:tcPr>
            <w:tcW w:w="2691" w:type="dxa"/>
            <w:gridSpan w:val="3"/>
            <w:vAlign w:val="center"/>
          </w:tcPr>
          <w:p w:rsidR="005964D9" w:rsidP="00A453C5" w:rsidRDefault="005964D9" w14:paraId="2D272C08" w14:textId="77777777">
            <w:pPr>
              <w:jc w:val="center"/>
              <w:rPr>
                <w:b/>
                <w:bCs/>
              </w:rPr>
            </w:pPr>
            <w:r w:rsidRPr="3BE8EDF3">
              <w:rPr>
                <w:b/>
                <w:bCs/>
              </w:rPr>
              <w:t>Existing Feature</w:t>
            </w:r>
          </w:p>
        </w:tc>
        <w:tc>
          <w:tcPr>
            <w:tcW w:w="2064" w:type="dxa"/>
            <w:vMerge w:val="restart"/>
            <w:vAlign w:val="center"/>
          </w:tcPr>
          <w:p w:rsidR="005964D9" w:rsidP="00A453C5" w:rsidRDefault="005964D9" w14:paraId="52D0F99C" w14:textId="77777777">
            <w:pPr>
              <w:jc w:val="center"/>
              <w:rPr>
                <w:b/>
                <w:bCs/>
              </w:rPr>
            </w:pPr>
            <w:r w:rsidRPr="3BE8EDF3">
              <w:rPr>
                <w:b/>
                <w:bCs/>
              </w:rPr>
              <w:t>Functional Classification</w:t>
            </w:r>
          </w:p>
        </w:tc>
        <w:tc>
          <w:tcPr>
            <w:tcW w:w="1389" w:type="dxa"/>
            <w:vMerge w:val="restart"/>
            <w:vAlign w:val="center"/>
          </w:tcPr>
          <w:p w:rsidR="005964D9" w:rsidP="00A453C5" w:rsidRDefault="005964D9" w14:paraId="3604B32F" w14:textId="77777777">
            <w:pPr>
              <w:jc w:val="center"/>
              <w:rPr>
                <w:b/>
                <w:bCs/>
              </w:rPr>
            </w:pPr>
            <w:r w:rsidRPr="3BE8EDF3">
              <w:rPr>
                <w:b/>
                <w:bCs/>
              </w:rPr>
              <w:t>2016 AADT (</w:t>
            </w:r>
            <w:proofErr w:type="spellStart"/>
            <w:r w:rsidRPr="3BE8EDF3">
              <w:rPr>
                <w:b/>
                <w:bCs/>
              </w:rPr>
              <w:t>vpd</w:t>
            </w:r>
            <w:proofErr w:type="spellEnd"/>
            <w:r w:rsidRPr="3BE8EDF3">
              <w:rPr>
                <w:b/>
                <w:bCs/>
                <w:vertAlign w:val="superscript"/>
              </w:rPr>
              <w:t>*</w:t>
            </w:r>
            <w:r w:rsidRPr="3BE8EDF3">
              <w:rPr>
                <w:b/>
                <w:bCs/>
              </w:rPr>
              <w:t>)</w:t>
            </w:r>
          </w:p>
        </w:tc>
      </w:tr>
      <w:tr w:rsidR="005964D9" w:rsidTr="00A453C5" w14:paraId="7DCBD01F" w14:textId="77777777">
        <w:trPr>
          <w:jc w:val="center"/>
        </w:trPr>
        <w:tc>
          <w:tcPr>
            <w:tcW w:w="3206" w:type="dxa"/>
            <w:gridSpan w:val="2"/>
            <w:vMerge/>
          </w:tcPr>
          <w:p w:rsidR="005964D9" w:rsidP="00A453C5" w:rsidRDefault="005964D9" w14:paraId="524D565F" w14:textId="77777777"/>
        </w:tc>
        <w:tc>
          <w:tcPr>
            <w:tcW w:w="843" w:type="dxa"/>
            <w:vAlign w:val="center"/>
          </w:tcPr>
          <w:p w:rsidR="005964D9" w:rsidP="00A453C5" w:rsidRDefault="005964D9" w14:paraId="7BF75B3E" w14:textId="77777777">
            <w:pPr>
              <w:jc w:val="center"/>
              <w:rPr>
                <w:b/>
                <w:bCs/>
              </w:rPr>
            </w:pPr>
            <w:r w:rsidRPr="3BE8EDF3">
              <w:rPr>
                <w:b/>
                <w:bCs/>
              </w:rPr>
              <w:t xml:space="preserve">Lanes (width in </w:t>
            </w:r>
            <w:r>
              <w:rPr>
                <w:b/>
                <w:bCs/>
              </w:rPr>
              <w:t>f</w:t>
            </w:r>
            <w:r w:rsidRPr="3BE8EDF3">
              <w:rPr>
                <w:b/>
                <w:bCs/>
              </w:rPr>
              <w:t>t)</w:t>
            </w:r>
          </w:p>
        </w:tc>
        <w:tc>
          <w:tcPr>
            <w:tcW w:w="1020" w:type="dxa"/>
            <w:vAlign w:val="center"/>
          </w:tcPr>
          <w:p w:rsidR="005964D9" w:rsidP="00A453C5" w:rsidRDefault="005964D9" w14:paraId="5B744678" w14:textId="77777777">
            <w:pPr>
              <w:jc w:val="center"/>
              <w:rPr>
                <w:b/>
                <w:bCs/>
              </w:rPr>
            </w:pPr>
            <w:r w:rsidRPr="3E6E6534">
              <w:rPr>
                <w:b/>
                <w:bCs/>
              </w:rPr>
              <w:t>ROW (</w:t>
            </w:r>
            <w:r>
              <w:rPr>
                <w:b/>
                <w:bCs/>
              </w:rPr>
              <w:t xml:space="preserve">est. in </w:t>
            </w:r>
            <w:r w:rsidRPr="3E6E6534">
              <w:rPr>
                <w:b/>
                <w:bCs/>
              </w:rPr>
              <w:t xml:space="preserve">ft) </w:t>
            </w:r>
          </w:p>
        </w:tc>
        <w:tc>
          <w:tcPr>
            <w:tcW w:w="828" w:type="dxa"/>
            <w:vAlign w:val="center"/>
          </w:tcPr>
          <w:p w:rsidR="005964D9" w:rsidP="00A453C5" w:rsidRDefault="005964D9" w14:paraId="16C047A2" w14:textId="77777777">
            <w:pPr>
              <w:jc w:val="center"/>
              <w:rPr>
                <w:b/>
                <w:bCs/>
              </w:rPr>
            </w:pPr>
            <w:r w:rsidRPr="3BE8EDF3">
              <w:rPr>
                <w:b/>
                <w:bCs/>
              </w:rPr>
              <w:t>Speed Limit (mph)</w:t>
            </w:r>
          </w:p>
        </w:tc>
        <w:tc>
          <w:tcPr>
            <w:tcW w:w="2064" w:type="dxa"/>
            <w:vMerge/>
          </w:tcPr>
          <w:p w:rsidR="005964D9" w:rsidP="00A453C5" w:rsidRDefault="005964D9" w14:paraId="6988C3C0" w14:textId="77777777"/>
        </w:tc>
        <w:tc>
          <w:tcPr>
            <w:tcW w:w="1389" w:type="dxa"/>
            <w:vMerge/>
          </w:tcPr>
          <w:p w:rsidR="005964D9" w:rsidP="00A453C5" w:rsidRDefault="005964D9" w14:paraId="3ECA9BE7" w14:textId="77777777"/>
        </w:tc>
      </w:tr>
      <w:tr w:rsidR="005964D9" w:rsidTr="00A453C5" w14:paraId="000B180F" w14:textId="77777777">
        <w:trPr>
          <w:jc w:val="center"/>
        </w:trPr>
        <w:tc>
          <w:tcPr>
            <w:tcW w:w="1316" w:type="dxa"/>
            <w:tcBorders>
              <w:right w:val="nil"/>
            </w:tcBorders>
          </w:tcPr>
          <w:p w:rsidR="005964D9" w:rsidP="00A453C5" w:rsidRDefault="005964D9" w14:paraId="0EFC21FC" w14:textId="3B9560FB">
            <w:pPr>
              <w:rPr>
                <w:sz w:val="20"/>
                <w:szCs w:val="20"/>
              </w:rPr>
            </w:pPr>
            <w:r>
              <w:rPr>
                <w:sz w:val="20"/>
                <w:szCs w:val="20"/>
              </w:rPr>
              <w:t>Amboy Road</w:t>
            </w:r>
          </w:p>
        </w:tc>
        <w:tc>
          <w:tcPr>
            <w:tcW w:w="1890" w:type="dxa"/>
            <w:tcBorders>
              <w:left w:val="nil"/>
            </w:tcBorders>
          </w:tcPr>
          <w:p w:rsidR="005964D9" w:rsidP="00A453C5" w:rsidRDefault="005964D9" w14:paraId="79B08999" w14:textId="08D4291D">
            <w:pPr>
              <w:rPr>
                <w:sz w:val="20"/>
                <w:szCs w:val="20"/>
              </w:rPr>
            </w:pPr>
            <w:r w:rsidRPr="3BE8EDF3">
              <w:rPr>
                <w:sz w:val="20"/>
                <w:szCs w:val="20"/>
              </w:rPr>
              <w:t>(</w:t>
            </w:r>
            <w:r>
              <w:rPr>
                <w:sz w:val="20"/>
                <w:szCs w:val="20"/>
              </w:rPr>
              <w:t>Amboy</w:t>
            </w:r>
            <w:r w:rsidRPr="3BE8EDF3">
              <w:rPr>
                <w:sz w:val="20"/>
                <w:szCs w:val="20"/>
              </w:rPr>
              <w:t xml:space="preserve"> Road)</w:t>
            </w:r>
          </w:p>
        </w:tc>
        <w:tc>
          <w:tcPr>
            <w:tcW w:w="843" w:type="dxa"/>
          </w:tcPr>
          <w:p w:rsidR="005964D9" w:rsidP="00A453C5" w:rsidRDefault="005964D9" w14:paraId="049BB69C" w14:textId="77777777">
            <w:pPr>
              <w:jc w:val="center"/>
              <w:rPr>
                <w:sz w:val="20"/>
                <w:szCs w:val="20"/>
              </w:rPr>
            </w:pPr>
            <w:r w:rsidRPr="3BE8EDF3">
              <w:rPr>
                <w:sz w:val="20"/>
                <w:szCs w:val="20"/>
              </w:rPr>
              <w:t>2 (10)</w:t>
            </w:r>
          </w:p>
        </w:tc>
        <w:tc>
          <w:tcPr>
            <w:tcW w:w="1020" w:type="dxa"/>
          </w:tcPr>
          <w:p w:rsidR="005964D9" w:rsidP="00A453C5" w:rsidRDefault="005964D9" w14:paraId="64B9343E" w14:textId="2B0F6902">
            <w:pPr>
              <w:jc w:val="center"/>
              <w:rPr>
                <w:sz w:val="20"/>
                <w:szCs w:val="20"/>
              </w:rPr>
            </w:pPr>
            <w:r>
              <w:rPr>
                <w:sz w:val="20"/>
                <w:szCs w:val="20"/>
              </w:rPr>
              <w:t>50</w:t>
            </w:r>
          </w:p>
        </w:tc>
        <w:tc>
          <w:tcPr>
            <w:tcW w:w="828" w:type="dxa"/>
          </w:tcPr>
          <w:p w:rsidR="005964D9" w:rsidP="00A453C5" w:rsidRDefault="00E43B5B" w14:paraId="301629DB" w14:textId="093C32C5">
            <w:pPr>
              <w:jc w:val="center"/>
              <w:rPr>
                <w:sz w:val="20"/>
                <w:szCs w:val="20"/>
              </w:rPr>
            </w:pPr>
            <w:r>
              <w:rPr>
                <w:sz w:val="20"/>
                <w:szCs w:val="20"/>
              </w:rPr>
              <w:t>35</w:t>
            </w:r>
          </w:p>
        </w:tc>
        <w:tc>
          <w:tcPr>
            <w:tcW w:w="2064" w:type="dxa"/>
          </w:tcPr>
          <w:p w:rsidR="005964D9" w:rsidP="00A453C5" w:rsidRDefault="00E43B5B" w14:paraId="5D508FA6" w14:textId="65745627">
            <w:pPr>
              <w:rPr>
                <w:sz w:val="20"/>
                <w:szCs w:val="20"/>
              </w:rPr>
            </w:pPr>
            <w:r>
              <w:rPr>
                <w:sz w:val="20"/>
                <w:szCs w:val="20"/>
              </w:rPr>
              <w:t>Local</w:t>
            </w:r>
          </w:p>
        </w:tc>
        <w:tc>
          <w:tcPr>
            <w:tcW w:w="1389" w:type="dxa"/>
          </w:tcPr>
          <w:p w:rsidR="005964D9" w:rsidP="00A453C5" w:rsidRDefault="00E43B5B" w14:paraId="76A3AC04" w14:textId="1AA222E0">
            <w:pPr>
              <w:jc w:val="center"/>
              <w:rPr>
                <w:sz w:val="20"/>
                <w:szCs w:val="20"/>
              </w:rPr>
            </w:pPr>
            <w:r>
              <w:rPr>
                <w:sz w:val="20"/>
                <w:szCs w:val="20"/>
              </w:rPr>
              <w:t>500-1,999</w:t>
            </w:r>
          </w:p>
        </w:tc>
      </w:tr>
      <w:tr w:rsidR="005964D9" w:rsidTr="00A453C5" w14:paraId="7E111A81" w14:textId="77777777">
        <w:trPr>
          <w:jc w:val="center"/>
        </w:trPr>
        <w:tc>
          <w:tcPr>
            <w:tcW w:w="1316" w:type="dxa"/>
            <w:tcBorders>
              <w:right w:val="nil"/>
            </w:tcBorders>
          </w:tcPr>
          <w:p w:rsidR="005964D9" w:rsidP="00A453C5" w:rsidRDefault="00994688" w14:paraId="44A69BA4" w14:textId="703B4A50">
            <w:pPr>
              <w:rPr>
                <w:sz w:val="20"/>
                <w:szCs w:val="20"/>
              </w:rPr>
            </w:pPr>
            <w:r>
              <w:rPr>
                <w:sz w:val="20"/>
                <w:szCs w:val="20"/>
              </w:rPr>
              <w:t>NC 81</w:t>
            </w:r>
            <w:r w:rsidRPr="3BE8EDF3" w:rsidR="005964D9">
              <w:rPr>
                <w:sz w:val="20"/>
                <w:szCs w:val="20"/>
              </w:rPr>
              <w:t xml:space="preserve"> </w:t>
            </w:r>
          </w:p>
        </w:tc>
        <w:tc>
          <w:tcPr>
            <w:tcW w:w="1890" w:type="dxa"/>
            <w:tcBorders>
              <w:left w:val="nil"/>
            </w:tcBorders>
          </w:tcPr>
          <w:p w:rsidR="005964D9" w:rsidP="00A453C5" w:rsidRDefault="005964D9" w14:paraId="46ADB227" w14:textId="2D9EDFF1">
            <w:pPr>
              <w:rPr>
                <w:sz w:val="20"/>
                <w:szCs w:val="20"/>
              </w:rPr>
            </w:pPr>
            <w:r w:rsidRPr="3BE8EDF3">
              <w:rPr>
                <w:sz w:val="20"/>
                <w:szCs w:val="20"/>
              </w:rPr>
              <w:t>(</w:t>
            </w:r>
            <w:r w:rsidR="009B62B6">
              <w:rPr>
                <w:sz w:val="20"/>
                <w:szCs w:val="20"/>
              </w:rPr>
              <w:t>Biltmore Avenue</w:t>
            </w:r>
            <w:r w:rsidRPr="3BE8EDF3">
              <w:rPr>
                <w:sz w:val="20"/>
                <w:szCs w:val="20"/>
              </w:rPr>
              <w:t>)</w:t>
            </w:r>
          </w:p>
        </w:tc>
        <w:tc>
          <w:tcPr>
            <w:tcW w:w="843" w:type="dxa"/>
          </w:tcPr>
          <w:p w:rsidR="005964D9" w:rsidP="00A453C5" w:rsidRDefault="009B62B6" w14:paraId="109865E7" w14:textId="4301E436">
            <w:pPr>
              <w:jc w:val="center"/>
              <w:rPr>
                <w:sz w:val="20"/>
                <w:szCs w:val="20"/>
              </w:rPr>
            </w:pPr>
            <w:r>
              <w:rPr>
                <w:sz w:val="20"/>
                <w:szCs w:val="20"/>
              </w:rPr>
              <w:t>3</w:t>
            </w:r>
            <w:r w:rsidRPr="3BE8EDF3" w:rsidR="005964D9">
              <w:rPr>
                <w:sz w:val="20"/>
                <w:szCs w:val="20"/>
              </w:rPr>
              <w:t xml:space="preserve"> (11)</w:t>
            </w:r>
          </w:p>
        </w:tc>
        <w:tc>
          <w:tcPr>
            <w:tcW w:w="1020" w:type="dxa"/>
          </w:tcPr>
          <w:p w:rsidR="005964D9" w:rsidP="00A453C5" w:rsidRDefault="009B62B6" w14:paraId="4189F954" w14:textId="3A9CC648">
            <w:pPr>
              <w:jc w:val="center"/>
              <w:rPr>
                <w:sz w:val="20"/>
                <w:szCs w:val="20"/>
              </w:rPr>
            </w:pPr>
            <w:r>
              <w:rPr>
                <w:sz w:val="20"/>
                <w:szCs w:val="20"/>
              </w:rPr>
              <w:t>80</w:t>
            </w:r>
            <w:r w:rsidRPr="3BE8EDF3" w:rsidR="005964D9">
              <w:rPr>
                <w:sz w:val="20"/>
                <w:szCs w:val="20"/>
              </w:rPr>
              <w:t xml:space="preserve"> </w:t>
            </w:r>
          </w:p>
        </w:tc>
        <w:tc>
          <w:tcPr>
            <w:tcW w:w="828" w:type="dxa"/>
          </w:tcPr>
          <w:p w:rsidR="005964D9" w:rsidP="00A453C5" w:rsidRDefault="005964D9" w14:paraId="652EDE02" w14:textId="77777777">
            <w:pPr>
              <w:jc w:val="center"/>
              <w:rPr>
                <w:sz w:val="20"/>
                <w:szCs w:val="20"/>
              </w:rPr>
            </w:pPr>
            <w:r w:rsidRPr="3BE8EDF3">
              <w:rPr>
                <w:sz w:val="20"/>
                <w:szCs w:val="20"/>
              </w:rPr>
              <w:t>55</w:t>
            </w:r>
          </w:p>
        </w:tc>
        <w:tc>
          <w:tcPr>
            <w:tcW w:w="2064" w:type="dxa"/>
          </w:tcPr>
          <w:p w:rsidR="005964D9" w:rsidP="00A453C5" w:rsidRDefault="005964D9" w14:paraId="5207F267" w14:textId="77777777">
            <w:pPr>
              <w:rPr>
                <w:sz w:val="20"/>
                <w:szCs w:val="20"/>
              </w:rPr>
            </w:pPr>
            <w:r w:rsidRPr="3BE8EDF3">
              <w:rPr>
                <w:sz w:val="20"/>
                <w:szCs w:val="20"/>
              </w:rPr>
              <w:t>Other Principal Arterial</w:t>
            </w:r>
          </w:p>
        </w:tc>
        <w:tc>
          <w:tcPr>
            <w:tcW w:w="1389" w:type="dxa"/>
          </w:tcPr>
          <w:p w:rsidR="005964D9" w:rsidP="00A453C5" w:rsidRDefault="005964D9" w14:paraId="15EB470A" w14:textId="77777777">
            <w:pPr>
              <w:jc w:val="center"/>
              <w:rPr>
                <w:sz w:val="20"/>
                <w:szCs w:val="20"/>
              </w:rPr>
            </w:pPr>
            <w:r w:rsidRPr="3BE8EDF3">
              <w:rPr>
                <w:sz w:val="20"/>
                <w:szCs w:val="20"/>
              </w:rPr>
              <w:t>10,000 – 34,999</w:t>
            </w:r>
          </w:p>
        </w:tc>
      </w:tr>
      <w:tr w:rsidR="005964D9" w:rsidTr="00A453C5" w14:paraId="1DE1837A" w14:textId="77777777">
        <w:trPr>
          <w:jc w:val="center"/>
        </w:trPr>
        <w:tc>
          <w:tcPr>
            <w:tcW w:w="1316" w:type="dxa"/>
            <w:tcBorders>
              <w:right w:val="nil"/>
            </w:tcBorders>
          </w:tcPr>
          <w:p w:rsidR="005964D9" w:rsidP="00A453C5" w:rsidRDefault="005964D9" w14:paraId="7132B8D4" w14:textId="2B6F89C1">
            <w:pPr>
              <w:rPr>
                <w:sz w:val="20"/>
                <w:szCs w:val="20"/>
              </w:rPr>
            </w:pPr>
            <w:r w:rsidRPr="3BE8EDF3">
              <w:rPr>
                <w:sz w:val="20"/>
                <w:szCs w:val="20"/>
              </w:rPr>
              <w:t>SR 1</w:t>
            </w:r>
            <w:r w:rsidR="009B62B6">
              <w:rPr>
                <w:sz w:val="20"/>
                <w:szCs w:val="20"/>
              </w:rPr>
              <w:t>113</w:t>
            </w:r>
          </w:p>
        </w:tc>
        <w:tc>
          <w:tcPr>
            <w:tcW w:w="1890" w:type="dxa"/>
            <w:tcBorders>
              <w:left w:val="nil"/>
            </w:tcBorders>
          </w:tcPr>
          <w:p w:rsidR="005964D9" w:rsidP="00A453C5" w:rsidRDefault="005964D9" w14:paraId="41E9817F" w14:textId="71048388">
            <w:pPr>
              <w:rPr>
                <w:sz w:val="20"/>
                <w:szCs w:val="20"/>
              </w:rPr>
            </w:pPr>
            <w:r w:rsidRPr="3BE8EDF3">
              <w:rPr>
                <w:sz w:val="20"/>
                <w:szCs w:val="20"/>
              </w:rPr>
              <w:t>(</w:t>
            </w:r>
            <w:r w:rsidR="009B62B6">
              <w:rPr>
                <w:sz w:val="20"/>
                <w:szCs w:val="20"/>
              </w:rPr>
              <w:t>French Broad</w:t>
            </w:r>
            <w:r w:rsidR="009636A0">
              <w:rPr>
                <w:sz w:val="20"/>
                <w:szCs w:val="20"/>
              </w:rPr>
              <w:t xml:space="preserve"> </w:t>
            </w:r>
            <w:r w:rsidR="00261306">
              <w:rPr>
                <w:sz w:val="20"/>
                <w:szCs w:val="20"/>
              </w:rPr>
              <w:t>Road</w:t>
            </w:r>
            <w:r w:rsidRPr="3BE8EDF3">
              <w:rPr>
                <w:sz w:val="20"/>
                <w:szCs w:val="20"/>
              </w:rPr>
              <w:t>)</w:t>
            </w:r>
          </w:p>
        </w:tc>
        <w:tc>
          <w:tcPr>
            <w:tcW w:w="843" w:type="dxa"/>
          </w:tcPr>
          <w:p w:rsidR="005964D9" w:rsidP="00A453C5" w:rsidRDefault="00261306" w14:paraId="3619AEF1" w14:textId="5536F11D">
            <w:pPr>
              <w:jc w:val="center"/>
              <w:rPr>
                <w:sz w:val="20"/>
                <w:szCs w:val="20"/>
              </w:rPr>
            </w:pPr>
            <w:r>
              <w:rPr>
                <w:sz w:val="20"/>
                <w:szCs w:val="20"/>
              </w:rPr>
              <w:t>2</w:t>
            </w:r>
            <w:r w:rsidRPr="3BE8EDF3" w:rsidR="005964D9">
              <w:rPr>
                <w:sz w:val="20"/>
                <w:szCs w:val="20"/>
              </w:rPr>
              <w:t xml:space="preserve"> (10)</w:t>
            </w:r>
          </w:p>
        </w:tc>
        <w:tc>
          <w:tcPr>
            <w:tcW w:w="1020" w:type="dxa"/>
          </w:tcPr>
          <w:p w:rsidR="005964D9" w:rsidP="00A453C5" w:rsidRDefault="005964D9" w14:paraId="12592A2C" w14:textId="77777777">
            <w:pPr>
              <w:jc w:val="center"/>
              <w:rPr>
                <w:sz w:val="20"/>
                <w:szCs w:val="20"/>
              </w:rPr>
            </w:pPr>
            <w:r w:rsidRPr="3BE8EDF3">
              <w:rPr>
                <w:sz w:val="20"/>
                <w:szCs w:val="20"/>
              </w:rPr>
              <w:t>60</w:t>
            </w:r>
          </w:p>
        </w:tc>
        <w:tc>
          <w:tcPr>
            <w:tcW w:w="828" w:type="dxa"/>
          </w:tcPr>
          <w:p w:rsidR="005964D9" w:rsidP="00A453C5" w:rsidRDefault="005964D9" w14:paraId="01B38C91" w14:textId="77777777">
            <w:pPr>
              <w:jc w:val="center"/>
              <w:rPr>
                <w:sz w:val="20"/>
                <w:szCs w:val="20"/>
              </w:rPr>
            </w:pPr>
            <w:r w:rsidRPr="3BE8EDF3">
              <w:rPr>
                <w:sz w:val="20"/>
                <w:szCs w:val="20"/>
              </w:rPr>
              <w:t>45</w:t>
            </w:r>
          </w:p>
        </w:tc>
        <w:tc>
          <w:tcPr>
            <w:tcW w:w="2064" w:type="dxa"/>
          </w:tcPr>
          <w:p w:rsidR="005964D9" w:rsidP="00A453C5" w:rsidRDefault="005964D9" w14:paraId="60243B17" w14:textId="77777777">
            <w:pPr>
              <w:rPr>
                <w:sz w:val="20"/>
                <w:szCs w:val="20"/>
              </w:rPr>
            </w:pPr>
            <w:r w:rsidRPr="3BE8EDF3">
              <w:rPr>
                <w:sz w:val="20"/>
                <w:szCs w:val="20"/>
              </w:rPr>
              <w:t>Minor Arterial</w:t>
            </w:r>
          </w:p>
        </w:tc>
        <w:tc>
          <w:tcPr>
            <w:tcW w:w="1389" w:type="dxa"/>
          </w:tcPr>
          <w:p w:rsidR="005964D9" w:rsidP="00A453C5" w:rsidRDefault="005964D9" w14:paraId="68FBC5D6" w14:textId="77777777">
            <w:pPr>
              <w:jc w:val="center"/>
              <w:rPr>
                <w:sz w:val="20"/>
                <w:szCs w:val="20"/>
              </w:rPr>
            </w:pPr>
            <w:r w:rsidRPr="3BE8EDF3">
              <w:rPr>
                <w:sz w:val="20"/>
                <w:szCs w:val="20"/>
              </w:rPr>
              <w:t>10,000 – 34,999</w:t>
            </w:r>
          </w:p>
        </w:tc>
      </w:tr>
      <w:tr w:rsidR="005964D9" w:rsidTr="00A453C5" w14:paraId="4CD41854" w14:textId="77777777">
        <w:trPr>
          <w:jc w:val="center"/>
        </w:trPr>
        <w:tc>
          <w:tcPr>
            <w:tcW w:w="1316" w:type="dxa"/>
            <w:tcBorders>
              <w:right w:val="nil"/>
            </w:tcBorders>
          </w:tcPr>
          <w:p w:rsidR="005964D9" w:rsidP="00A453C5" w:rsidRDefault="005964D9" w14:paraId="6F7DA5E6" w14:textId="37CCD75A">
            <w:pPr>
              <w:rPr>
                <w:sz w:val="20"/>
                <w:szCs w:val="20"/>
              </w:rPr>
            </w:pPr>
            <w:r w:rsidRPr="3BE8EDF3">
              <w:rPr>
                <w:sz w:val="20"/>
                <w:szCs w:val="20"/>
              </w:rPr>
              <w:t>SR 13</w:t>
            </w:r>
            <w:r w:rsidR="00261306">
              <w:rPr>
                <w:sz w:val="20"/>
                <w:szCs w:val="20"/>
              </w:rPr>
              <w:t>62</w:t>
            </w:r>
            <w:r w:rsidRPr="3BE8EDF3">
              <w:rPr>
                <w:sz w:val="20"/>
                <w:szCs w:val="20"/>
              </w:rPr>
              <w:t xml:space="preserve"> </w:t>
            </w:r>
          </w:p>
        </w:tc>
        <w:tc>
          <w:tcPr>
            <w:tcW w:w="1890" w:type="dxa"/>
            <w:tcBorders>
              <w:left w:val="nil"/>
            </w:tcBorders>
          </w:tcPr>
          <w:p w:rsidR="005964D9" w:rsidP="00A453C5" w:rsidRDefault="005964D9" w14:paraId="42526CCE" w14:textId="4F850C43">
            <w:pPr>
              <w:rPr>
                <w:sz w:val="20"/>
                <w:szCs w:val="20"/>
              </w:rPr>
            </w:pPr>
            <w:r w:rsidRPr="3BE8EDF3">
              <w:rPr>
                <w:sz w:val="20"/>
                <w:szCs w:val="20"/>
              </w:rPr>
              <w:t>(</w:t>
            </w:r>
            <w:r w:rsidR="00261306">
              <w:rPr>
                <w:sz w:val="20"/>
                <w:szCs w:val="20"/>
              </w:rPr>
              <w:t>Victoria</w:t>
            </w:r>
            <w:r w:rsidRPr="3BE8EDF3">
              <w:rPr>
                <w:sz w:val="20"/>
                <w:szCs w:val="20"/>
              </w:rPr>
              <w:t xml:space="preserve"> </w:t>
            </w:r>
            <w:r w:rsidR="001842C8">
              <w:rPr>
                <w:sz w:val="20"/>
                <w:szCs w:val="20"/>
              </w:rPr>
              <w:t>Street</w:t>
            </w:r>
            <w:r w:rsidRPr="3BE8EDF3">
              <w:rPr>
                <w:sz w:val="20"/>
                <w:szCs w:val="20"/>
              </w:rPr>
              <w:t>)</w:t>
            </w:r>
          </w:p>
        </w:tc>
        <w:tc>
          <w:tcPr>
            <w:tcW w:w="843" w:type="dxa"/>
          </w:tcPr>
          <w:p w:rsidR="005964D9" w:rsidP="00A453C5" w:rsidRDefault="002C0CD5" w14:paraId="6F24E53D" w14:textId="3E34395C">
            <w:pPr>
              <w:jc w:val="center"/>
              <w:rPr>
                <w:sz w:val="20"/>
                <w:szCs w:val="20"/>
              </w:rPr>
            </w:pPr>
            <w:r>
              <w:rPr>
                <w:sz w:val="20"/>
                <w:szCs w:val="20"/>
              </w:rPr>
              <w:t>3</w:t>
            </w:r>
            <w:r w:rsidRPr="3BE8EDF3" w:rsidR="005964D9">
              <w:rPr>
                <w:sz w:val="20"/>
                <w:szCs w:val="20"/>
              </w:rPr>
              <w:t xml:space="preserve"> (10)</w:t>
            </w:r>
          </w:p>
        </w:tc>
        <w:tc>
          <w:tcPr>
            <w:tcW w:w="1020" w:type="dxa"/>
          </w:tcPr>
          <w:p w:rsidR="005964D9" w:rsidP="00A453C5" w:rsidRDefault="005964D9" w14:paraId="757B3D28" w14:textId="77777777">
            <w:pPr>
              <w:jc w:val="center"/>
              <w:rPr>
                <w:sz w:val="20"/>
                <w:szCs w:val="20"/>
              </w:rPr>
            </w:pPr>
            <w:r w:rsidRPr="3BE8EDF3">
              <w:rPr>
                <w:sz w:val="20"/>
                <w:szCs w:val="20"/>
              </w:rPr>
              <w:t>60</w:t>
            </w:r>
          </w:p>
        </w:tc>
        <w:tc>
          <w:tcPr>
            <w:tcW w:w="828" w:type="dxa"/>
          </w:tcPr>
          <w:p w:rsidR="005964D9" w:rsidP="00A453C5" w:rsidRDefault="005964D9" w14:paraId="13E62C3B" w14:textId="77777777">
            <w:pPr>
              <w:jc w:val="center"/>
              <w:rPr>
                <w:sz w:val="20"/>
                <w:szCs w:val="20"/>
              </w:rPr>
            </w:pPr>
            <w:r w:rsidRPr="3BE8EDF3">
              <w:rPr>
                <w:sz w:val="20"/>
                <w:szCs w:val="20"/>
              </w:rPr>
              <w:t>45</w:t>
            </w:r>
          </w:p>
        </w:tc>
        <w:tc>
          <w:tcPr>
            <w:tcW w:w="2064" w:type="dxa"/>
          </w:tcPr>
          <w:p w:rsidR="005964D9" w:rsidP="00A453C5" w:rsidRDefault="005964D9" w14:paraId="003BA14A" w14:textId="77777777">
            <w:pPr>
              <w:rPr>
                <w:sz w:val="20"/>
                <w:szCs w:val="20"/>
              </w:rPr>
            </w:pPr>
            <w:r w:rsidRPr="3BE8EDF3">
              <w:rPr>
                <w:sz w:val="20"/>
                <w:szCs w:val="20"/>
              </w:rPr>
              <w:t>Major Collector</w:t>
            </w:r>
          </w:p>
        </w:tc>
        <w:tc>
          <w:tcPr>
            <w:tcW w:w="1389" w:type="dxa"/>
          </w:tcPr>
          <w:p w:rsidR="005964D9" w:rsidP="00A453C5" w:rsidRDefault="005964D9" w14:paraId="0AA73CCC" w14:textId="77777777">
            <w:pPr>
              <w:jc w:val="center"/>
              <w:rPr>
                <w:sz w:val="20"/>
                <w:szCs w:val="20"/>
              </w:rPr>
            </w:pPr>
            <w:r w:rsidRPr="3BE8EDF3">
              <w:rPr>
                <w:sz w:val="20"/>
                <w:szCs w:val="20"/>
              </w:rPr>
              <w:t>2,000 – 4,999</w:t>
            </w:r>
          </w:p>
        </w:tc>
      </w:tr>
      <w:tr w:rsidR="005964D9" w:rsidTr="00A453C5" w14:paraId="32AD641C" w14:textId="77777777">
        <w:trPr>
          <w:jc w:val="center"/>
        </w:trPr>
        <w:tc>
          <w:tcPr>
            <w:tcW w:w="1316" w:type="dxa"/>
            <w:tcBorders>
              <w:right w:val="nil"/>
            </w:tcBorders>
          </w:tcPr>
          <w:p w:rsidR="005964D9" w:rsidP="00A453C5" w:rsidRDefault="005964D9" w14:paraId="7FB63BE6" w14:textId="74896226">
            <w:pPr>
              <w:rPr>
                <w:sz w:val="20"/>
                <w:szCs w:val="20"/>
              </w:rPr>
            </w:pPr>
            <w:r w:rsidRPr="3BE8EDF3">
              <w:rPr>
                <w:sz w:val="20"/>
                <w:szCs w:val="20"/>
              </w:rPr>
              <w:t>SR 13</w:t>
            </w:r>
            <w:r w:rsidR="00261306">
              <w:rPr>
                <w:sz w:val="20"/>
                <w:szCs w:val="20"/>
              </w:rPr>
              <w:t>35</w:t>
            </w:r>
          </w:p>
        </w:tc>
        <w:tc>
          <w:tcPr>
            <w:tcW w:w="1890" w:type="dxa"/>
            <w:tcBorders>
              <w:left w:val="nil"/>
            </w:tcBorders>
          </w:tcPr>
          <w:p w:rsidR="005964D9" w:rsidP="00A453C5" w:rsidRDefault="005964D9" w14:paraId="0D24DEF8" w14:textId="558742F1">
            <w:pPr>
              <w:rPr>
                <w:sz w:val="20"/>
                <w:szCs w:val="20"/>
              </w:rPr>
            </w:pPr>
            <w:r w:rsidRPr="3BE8EDF3">
              <w:rPr>
                <w:sz w:val="20"/>
                <w:szCs w:val="20"/>
              </w:rPr>
              <w:t>(</w:t>
            </w:r>
            <w:r w:rsidR="00FF15AD">
              <w:rPr>
                <w:sz w:val="20"/>
                <w:szCs w:val="20"/>
              </w:rPr>
              <w:t>Meadow</w:t>
            </w:r>
            <w:r w:rsidRPr="3BE8EDF3">
              <w:rPr>
                <w:sz w:val="20"/>
                <w:szCs w:val="20"/>
              </w:rPr>
              <w:t xml:space="preserve"> Road)</w:t>
            </w:r>
          </w:p>
        </w:tc>
        <w:tc>
          <w:tcPr>
            <w:tcW w:w="843" w:type="dxa"/>
          </w:tcPr>
          <w:p w:rsidR="005964D9" w:rsidP="00A453C5" w:rsidRDefault="005964D9" w14:paraId="5A8A7FAC" w14:textId="77777777">
            <w:pPr>
              <w:jc w:val="center"/>
              <w:rPr>
                <w:sz w:val="20"/>
                <w:szCs w:val="20"/>
              </w:rPr>
            </w:pPr>
            <w:r w:rsidRPr="3BE8EDF3">
              <w:rPr>
                <w:sz w:val="20"/>
                <w:szCs w:val="20"/>
              </w:rPr>
              <w:t>2 (10)</w:t>
            </w:r>
          </w:p>
        </w:tc>
        <w:tc>
          <w:tcPr>
            <w:tcW w:w="1020" w:type="dxa"/>
          </w:tcPr>
          <w:p w:rsidR="005964D9" w:rsidP="00A453C5" w:rsidRDefault="005964D9" w14:paraId="0E50D070" w14:textId="77777777">
            <w:pPr>
              <w:jc w:val="center"/>
              <w:rPr>
                <w:sz w:val="20"/>
                <w:szCs w:val="20"/>
              </w:rPr>
            </w:pPr>
            <w:r w:rsidRPr="3BE8EDF3">
              <w:rPr>
                <w:sz w:val="20"/>
                <w:szCs w:val="20"/>
              </w:rPr>
              <w:t>60</w:t>
            </w:r>
          </w:p>
        </w:tc>
        <w:tc>
          <w:tcPr>
            <w:tcW w:w="828" w:type="dxa"/>
          </w:tcPr>
          <w:p w:rsidR="005964D9" w:rsidP="00A453C5" w:rsidRDefault="005964D9" w14:paraId="4D592231" w14:textId="77777777">
            <w:pPr>
              <w:jc w:val="center"/>
              <w:rPr>
                <w:sz w:val="20"/>
                <w:szCs w:val="20"/>
              </w:rPr>
            </w:pPr>
            <w:r w:rsidRPr="3BE8EDF3">
              <w:rPr>
                <w:sz w:val="20"/>
                <w:szCs w:val="20"/>
              </w:rPr>
              <w:t>45</w:t>
            </w:r>
          </w:p>
        </w:tc>
        <w:tc>
          <w:tcPr>
            <w:tcW w:w="2064" w:type="dxa"/>
          </w:tcPr>
          <w:p w:rsidR="005964D9" w:rsidP="00A453C5" w:rsidRDefault="005964D9" w14:paraId="6F8192E8" w14:textId="77777777">
            <w:pPr>
              <w:rPr>
                <w:sz w:val="20"/>
                <w:szCs w:val="20"/>
              </w:rPr>
            </w:pPr>
            <w:r w:rsidRPr="3BE8EDF3">
              <w:rPr>
                <w:sz w:val="20"/>
                <w:szCs w:val="20"/>
              </w:rPr>
              <w:t>Major Collector</w:t>
            </w:r>
          </w:p>
        </w:tc>
        <w:tc>
          <w:tcPr>
            <w:tcW w:w="1389" w:type="dxa"/>
          </w:tcPr>
          <w:p w:rsidR="005964D9" w:rsidP="00A453C5" w:rsidRDefault="005964D9" w14:paraId="58EDB7B4" w14:textId="77777777">
            <w:pPr>
              <w:jc w:val="center"/>
              <w:rPr>
                <w:sz w:val="20"/>
                <w:szCs w:val="20"/>
              </w:rPr>
            </w:pPr>
            <w:r w:rsidRPr="3BE8EDF3">
              <w:rPr>
                <w:sz w:val="20"/>
                <w:szCs w:val="20"/>
              </w:rPr>
              <w:t>2,000 – 4,999</w:t>
            </w:r>
          </w:p>
        </w:tc>
      </w:tr>
      <w:tr w:rsidR="005964D9" w:rsidTr="00A453C5" w14:paraId="2883DC7F" w14:textId="77777777">
        <w:trPr>
          <w:jc w:val="center"/>
        </w:trPr>
        <w:tc>
          <w:tcPr>
            <w:tcW w:w="1316" w:type="dxa"/>
            <w:tcBorders>
              <w:right w:val="nil"/>
            </w:tcBorders>
          </w:tcPr>
          <w:p w:rsidR="005964D9" w:rsidP="00A453C5" w:rsidRDefault="005964D9" w14:paraId="40E65958" w14:textId="77777777">
            <w:pPr>
              <w:rPr>
                <w:sz w:val="20"/>
                <w:szCs w:val="20"/>
              </w:rPr>
            </w:pPr>
            <w:r w:rsidRPr="3BE8EDF3">
              <w:rPr>
                <w:sz w:val="20"/>
                <w:szCs w:val="20"/>
              </w:rPr>
              <w:t xml:space="preserve">SR 1317 </w:t>
            </w:r>
          </w:p>
        </w:tc>
        <w:tc>
          <w:tcPr>
            <w:tcW w:w="1890" w:type="dxa"/>
            <w:tcBorders>
              <w:left w:val="nil"/>
            </w:tcBorders>
          </w:tcPr>
          <w:p w:rsidR="005964D9" w:rsidP="00A453C5" w:rsidRDefault="005964D9" w14:paraId="5FFE5045" w14:textId="411FEA32">
            <w:pPr>
              <w:rPr>
                <w:sz w:val="20"/>
                <w:szCs w:val="20"/>
              </w:rPr>
            </w:pPr>
            <w:r w:rsidRPr="3BE8EDF3">
              <w:rPr>
                <w:sz w:val="20"/>
                <w:szCs w:val="20"/>
              </w:rPr>
              <w:t>(</w:t>
            </w:r>
            <w:r w:rsidR="001842C8">
              <w:rPr>
                <w:sz w:val="20"/>
                <w:szCs w:val="20"/>
              </w:rPr>
              <w:t>Lyman</w:t>
            </w:r>
            <w:r w:rsidRPr="3BE8EDF3">
              <w:rPr>
                <w:sz w:val="20"/>
                <w:szCs w:val="20"/>
              </w:rPr>
              <w:t>)</w:t>
            </w:r>
          </w:p>
        </w:tc>
        <w:tc>
          <w:tcPr>
            <w:tcW w:w="843" w:type="dxa"/>
          </w:tcPr>
          <w:p w:rsidR="005964D9" w:rsidP="00A453C5" w:rsidRDefault="005964D9" w14:paraId="3A5A55F6" w14:textId="77777777">
            <w:pPr>
              <w:jc w:val="center"/>
              <w:rPr>
                <w:sz w:val="20"/>
                <w:szCs w:val="20"/>
              </w:rPr>
            </w:pPr>
            <w:r w:rsidRPr="3BE8EDF3">
              <w:rPr>
                <w:sz w:val="20"/>
                <w:szCs w:val="20"/>
              </w:rPr>
              <w:t>2 (9)</w:t>
            </w:r>
          </w:p>
        </w:tc>
        <w:tc>
          <w:tcPr>
            <w:tcW w:w="1020" w:type="dxa"/>
          </w:tcPr>
          <w:p w:rsidR="005964D9" w:rsidP="00A453C5" w:rsidRDefault="005964D9" w14:paraId="36A0919D" w14:textId="77777777">
            <w:pPr>
              <w:jc w:val="center"/>
              <w:rPr>
                <w:sz w:val="20"/>
                <w:szCs w:val="20"/>
              </w:rPr>
            </w:pPr>
            <w:r w:rsidRPr="3BE8EDF3">
              <w:rPr>
                <w:sz w:val="20"/>
                <w:szCs w:val="20"/>
              </w:rPr>
              <w:t>60</w:t>
            </w:r>
          </w:p>
        </w:tc>
        <w:tc>
          <w:tcPr>
            <w:tcW w:w="828" w:type="dxa"/>
          </w:tcPr>
          <w:p w:rsidR="005964D9" w:rsidP="00A453C5" w:rsidRDefault="005964D9" w14:paraId="48FF064E" w14:textId="77777777">
            <w:pPr>
              <w:jc w:val="center"/>
              <w:rPr>
                <w:sz w:val="20"/>
                <w:szCs w:val="20"/>
              </w:rPr>
            </w:pPr>
            <w:r w:rsidRPr="3BE8EDF3">
              <w:rPr>
                <w:sz w:val="20"/>
                <w:szCs w:val="20"/>
              </w:rPr>
              <w:t>35-45</w:t>
            </w:r>
          </w:p>
        </w:tc>
        <w:tc>
          <w:tcPr>
            <w:tcW w:w="2064" w:type="dxa"/>
          </w:tcPr>
          <w:p w:rsidR="005964D9" w:rsidP="00A453C5" w:rsidRDefault="005964D9" w14:paraId="7AA1C91B" w14:textId="77777777">
            <w:pPr>
              <w:rPr>
                <w:sz w:val="20"/>
                <w:szCs w:val="20"/>
              </w:rPr>
            </w:pPr>
            <w:r w:rsidRPr="3BE8EDF3">
              <w:rPr>
                <w:sz w:val="20"/>
                <w:szCs w:val="20"/>
              </w:rPr>
              <w:t>Local</w:t>
            </w:r>
          </w:p>
        </w:tc>
        <w:tc>
          <w:tcPr>
            <w:tcW w:w="1389" w:type="dxa"/>
          </w:tcPr>
          <w:p w:rsidR="005964D9" w:rsidP="00A453C5" w:rsidRDefault="005964D9" w14:paraId="2BAD0ACB" w14:textId="77777777">
            <w:pPr>
              <w:jc w:val="center"/>
              <w:rPr>
                <w:sz w:val="20"/>
                <w:szCs w:val="20"/>
              </w:rPr>
            </w:pPr>
            <w:r w:rsidRPr="3BE8EDF3">
              <w:rPr>
                <w:sz w:val="20"/>
                <w:szCs w:val="20"/>
              </w:rPr>
              <w:t>500 – 1,999</w:t>
            </w:r>
          </w:p>
        </w:tc>
      </w:tr>
      <w:tr w:rsidR="005964D9" w:rsidTr="00A453C5" w14:paraId="7D93E7D3" w14:textId="77777777">
        <w:trPr>
          <w:jc w:val="center"/>
        </w:trPr>
        <w:tc>
          <w:tcPr>
            <w:tcW w:w="9350" w:type="dxa"/>
            <w:gridSpan w:val="7"/>
          </w:tcPr>
          <w:p w:rsidR="005964D9" w:rsidP="00A453C5" w:rsidRDefault="005964D9" w14:paraId="65AECA4D" w14:textId="77777777">
            <w:pPr>
              <w:rPr>
                <w:sz w:val="20"/>
                <w:szCs w:val="20"/>
              </w:rPr>
            </w:pPr>
            <w:r w:rsidRPr="3BE8EDF3">
              <w:rPr>
                <w:sz w:val="18"/>
                <w:szCs w:val="18"/>
              </w:rPr>
              <w:t>* “vehicles per day”</w:t>
            </w:r>
          </w:p>
        </w:tc>
      </w:tr>
    </w:tbl>
    <w:p w:rsidR="00EF704C" w:rsidP="00993A4A" w:rsidRDefault="00EF704C" w14:paraId="74EE3209" w14:textId="77777777">
      <w:pPr>
        <w:spacing w:after="120"/>
        <w:outlineLvl w:val="1"/>
        <w:rPr>
          <w:b/>
        </w:rPr>
      </w:pPr>
    </w:p>
    <w:p w:rsidRPr="005E6A00" w:rsidR="00993A4A" w:rsidP="00993A4A" w:rsidRDefault="00993A4A" w14:paraId="7E26E948" w14:textId="50F57DF6">
      <w:pPr>
        <w:spacing w:after="120"/>
        <w:outlineLvl w:val="1"/>
        <w:rPr>
          <w:b/>
        </w:rPr>
      </w:pPr>
      <w:r w:rsidRPr="005E6A00">
        <w:rPr>
          <w:b/>
        </w:rPr>
        <w:t>2.2</w:t>
      </w:r>
      <w:r w:rsidRPr="005E6A00">
        <w:rPr>
          <w:b/>
        </w:rPr>
        <w:tab/>
      </w:r>
      <w:r w:rsidRPr="005E6A00" w:rsidR="007044B7">
        <w:rPr>
          <w:b/>
        </w:rPr>
        <w:t>Environmental</w:t>
      </w:r>
      <w:r w:rsidRPr="005E6A00">
        <w:rPr>
          <w:b/>
        </w:rPr>
        <w:t xml:space="preserve"> Features</w:t>
      </w:r>
    </w:p>
    <w:p w:rsidR="00993A4A" w:rsidP="00993A4A" w:rsidRDefault="00993A4A" w14:paraId="35D05A61" w14:textId="61B13C2F">
      <w:pPr>
        <w:pStyle w:val="Hidden"/>
      </w:pPr>
      <w:r>
        <w:t xml:space="preserve">At a minimum, this section should include a description of </w:t>
      </w:r>
      <w:r w:rsidR="007044B7">
        <w:t xml:space="preserve">resources included in the environmental features map that may require </w:t>
      </w:r>
      <w:r w:rsidRPr="00BB68DC" w:rsidR="007044B7">
        <w:t>avoidance</w:t>
      </w:r>
      <w:r w:rsidRPr="00BB68DC" w:rsidR="00FD72EB">
        <w:t xml:space="preserve"> and </w:t>
      </w:r>
      <w:r w:rsidRPr="00BB68DC" w:rsidR="007044B7">
        <w:t xml:space="preserve">minimization </w:t>
      </w:r>
      <w:r w:rsidR="007044B7">
        <w:t>as the project moves forward</w:t>
      </w:r>
      <w:r>
        <w:t>.</w:t>
      </w:r>
      <w:r w:rsidR="005D3A8C">
        <w:t xml:space="preserve">  Other potential items for inclusion are </w:t>
      </w:r>
      <w:r w:rsidR="007C64D8">
        <w:t>threatened and endangered species, special classification waters, buffer rules, and Section 106</w:t>
      </w:r>
      <w:r w:rsidR="00113F4D">
        <w:t xml:space="preserve"> and Section </w:t>
      </w:r>
      <w:r w:rsidR="007C64D8">
        <w:t>4(f) resources.</w:t>
      </w:r>
    </w:p>
    <w:p w:rsidR="007044B7" w:rsidP="380D4D3E" w:rsidRDefault="7233FE9C" w14:paraId="00107A82" w14:textId="47088C5F">
      <w:pPr>
        <w:rPr>
          <w:rFonts w:ascii="Calibri" w:hAnsi="Calibri" w:eastAsia="Calibri" w:cs="Calibri"/>
          <w:color w:val="000000" w:themeColor="text1"/>
        </w:rPr>
      </w:pPr>
      <w:r w:rsidRPr="380D4D3E">
        <w:rPr>
          <w:rFonts w:ascii="Calibri" w:hAnsi="Calibri" w:eastAsia="Calibri" w:cs="Calibri"/>
          <w:color w:val="FF0000"/>
        </w:rPr>
        <w:t>Example Text</w:t>
      </w:r>
      <w:r>
        <w:t xml:space="preserve"> </w:t>
      </w:r>
      <w:r w:rsidR="007044B7">
        <w:t xml:space="preserve">Environmental resources in the project area are shown in </w:t>
      </w:r>
      <w:r w:rsidR="00700F9F">
        <w:t>the Environmental Features Map (</w:t>
      </w:r>
      <w:r w:rsidR="007044B7">
        <w:t>Figure 3</w:t>
      </w:r>
      <w:r w:rsidR="00700F9F">
        <w:t>)</w:t>
      </w:r>
      <w:r w:rsidR="007044B7">
        <w:t>. The study area is part of the French Broad River basin (U.S. Geological Survey [USGS] Hydrologic Unit [HUC] 06010105). There are no water supply watersheds (WS-I or WS-II) within or within 1.0 mile downstream of the study area. There are no primary nursery areas (PNA) or anadromous fish within the study area. Additionally, there are no North Carolina Wildlife Resources Commission (NCWRC)-designated trout waters within or within 1.0 mile of the study area. The North Carolina 2016 Final 303(d) list of impaired waters identifies no waters within or within 1.0 mile downstream of the study area as impaired.</w:t>
      </w:r>
    </w:p>
    <w:p w:rsidR="00C2486C" w:rsidP="007044B7" w:rsidRDefault="007044B7" w14:paraId="1EE18A19" w14:textId="165ECBF4">
      <w:r>
        <w:t xml:space="preserve">The project is located along the banks of the French Broad and Swannanoa Rivers in south Asheville, near Mission Hospital and the developing River Arts district to the north, and the popular Biltmore Estate tourist destination across the rivers to the south. Development surrounding Meadow Road is mostly industrial, with the Norfolk Southern freight rail operations having a strong presence. In the </w:t>
      </w:r>
      <w:r>
        <w:lastRenderedPageBreak/>
        <w:t xml:space="preserve">western half of the project area, Amboy Road is a two-lane road that parallels a linear collection of riverfront parks: Carrier Park, Amboy Riverfront Park, and French Broad River Park. </w:t>
      </w:r>
    </w:p>
    <w:p w:rsidR="007044B7" w:rsidP="007044B7" w:rsidRDefault="007044B7" w14:paraId="21A924AB" w14:textId="02E198CE">
      <w:pPr>
        <w:pStyle w:val="ListParagraph"/>
        <w:numPr>
          <w:ilvl w:val="0"/>
          <w:numId w:val="1"/>
        </w:numPr>
        <w:spacing w:after="120"/>
        <w:ind w:left="360"/>
        <w:outlineLvl w:val="0"/>
        <w:rPr>
          <w:b/>
          <w:sz w:val="24"/>
          <w:szCs w:val="24"/>
        </w:rPr>
      </w:pPr>
      <w:r>
        <w:rPr>
          <w:b/>
          <w:sz w:val="24"/>
          <w:szCs w:val="24"/>
        </w:rPr>
        <w:t>Project Purpose and Need</w:t>
      </w:r>
    </w:p>
    <w:p w:rsidRPr="000E49C0" w:rsidR="007044B7" w:rsidP="007044B7" w:rsidRDefault="007044B7" w14:paraId="70F08411" w14:textId="30DE0E28">
      <w:pPr>
        <w:spacing w:after="120"/>
        <w:outlineLvl w:val="1"/>
        <w:rPr>
          <w:b/>
        </w:rPr>
      </w:pPr>
      <w:r>
        <w:rPr>
          <w:b/>
        </w:rPr>
        <w:t>3</w:t>
      </w:r>
      <w:r w:rsidRPr="000E49C0">
        <w:rPr>
          <w:b/>
        </w:rPr>
        <w:t>.1</w:t>
      </w:r>
      <w:r w:rsidRPr="000E49C0">
        <w:rPr>
          <w:b/>
        </w:rPr>
        <w:tab/>
      </w:r>
      <w:r w:rsidR="00671C7C">
        <w:rPr>
          <w:b/>
        </w:rPr>
        <w:t>Identified</w:t>
      </w:r>
      <w:r>
        <w:rPr>
          <w:b/>
        </w:rPr>
        <w:t xml:space="preserve"> Needs</w:t>
      </w:r>
    </w:p>
    <w:p w:rsidR="00F952AE" w:rsidP="007044B7" w:rsidRDefault="007C64D8" w14:paraId="5812A17B" w14:textId="2B965ADF">
      <w:pPr>
        <w:pStyle w:val="Hidden"/>
      </w:pPr>
      <w:r>
        <w:t>This section should include the deficiencies this project is proposed to address</w:t>
      </w:r>
      <w:r w:rsidR="00CB18B5">
        <w:t>.  The deficiencies noted should be supported by available data.  In some cases, this may require completion o</w:t>
      </w:r>
      <w:r w:rsidR="002A34B8">
        <w:t>f</w:t>
      </w:r>
      <w:r w:rsidR="00CB18B5">
        <w:t xml:space="preserve"> a traffic forecast or traffic analysis before the CP 1 meeting</w:t>
      </w:r>
      <w:r w:rsidR="007044B7">
        <w:t>.</w:t>
      </w:r>
      <w:r w:rsidR="00AE5689">
        <w:t xml:space="preserve">  </w:t>
      </w:r>
      <w:r w:rsidR="00F952AE">
        <w:t>A project may have multiple needs to address and can be divided between primary needs and secondary needs.</w:t>
      </w:r>
    </w:p>
    <w:p w:rsidR="007044B7" w:rsidP="007044B7" w:rsidRDefault="00AE5689" w14:paraId="5607791C" w14:textId="7D3DDF99">
      <w:pPr>
        <w:pStyle w:val="Hidden"/>
      </w:pPr>
      <w:r>
        <w:t xml:space="preserve">In some cases, it is helpful to note where the needs drop in intensity, as that will help define project termini and independent utility.  For example, if after a certain intersection, traffic </w:t>
      </w:r>
      <w:r w:rsidR="00D9776C">
        <w:t>level of service</w:t>
      </w:r>
      <w:r>
        <w:t xml:space="preserve"> goes from F to B in the design year, that may be good evidence that improvements can stop at this location.</w:t>
      </w:r>
    </w:p>
    <w:p w:rsidR="009120C0" w:rsidP="380D4D3E" w:rsidRDefault="28E51F8D" w14:paraId="1C3F89C6" w14:textId="6114A1DD">
      <w:pPr>
        <w:rPr>
          <w:rFonts w:ascii="Calibri" w:hAnsi="Calibri" w:eastAsia="Calibri" w:cs="Calibri"/>
          <w:color w:val="000000" w:themeColor="text1"/>
        </w:rPr>
      </w:pPr>
      <w:r w:rsidRPr="380D4D3E">
        <w:rPr>
          <w:rFonts w:ascii="Calibri" w:hAnsi="Calibri" w:eastAsia="Calibri" w:cs="Calibri"/>
          <w:color w:val="FF0000"/>
        </w:rPr>
        <w:t>Example Text</w:t>
      </w:r>
      <w:r>
        <w:t xml:space="preserve"> </w:t>
      </w:r>
      <w:r w:rsidR="009120C0">
        <w:t xml:space="preserve">The </w:t>
      </w:r>
      <w:r w:rsidR="00006160">
        <w:t xml:space="preserve">need </w:t>
      </w:r>
      <w:r w:rsidR="009120C0">
        <w:t>for this study can be described as follows:</w:t>
      </w:r>
    </w:p>
    <w:p w:rsidR="009120C0" w:rsidP="009120C0" w:rsidRDefault="009120C0" w14:paraId="6576BE41" w14:textId="7BCCAF6E">
      <w:r>
        <w:t>Operational and capacity deficiencies exist at the intersections along SR 3556 (Amboy</w:t>
      </w:r>
      <w:r w:rsidR="00CB18B5">
        <w:t xml:space="preserve"> </w:t>
      </w:r>
      <w:r>
        <w:t xml:space="preserve">Road/Meadow Road) within the project limits. These </w:t>
      </w:r>
      <w:r w:rsidR="24AA6A81">
        <w:t>deficiencies</w:t>
      </w:r>
      <w:r>
        <w:t xml:space="preserve"> are expected to</w:t>
      </w:r>
      <w:r w:rsidR="00CB18B5">
        <w:t xml:space="preserve"> </w:t>
      </w:r>
      <w:r>
        <w:t>worsen in the future.</w:t>
      </w:r>
    </w:p>
    <w:p w:rsidR="009120C0" w:rsidP="009120C0" w:rsidRDefault="009120C0" w14:paraId="4F45B0F3" w14:textId="197BDED0">
      <w:r>
        <w:t xml:space="preserve">Based on the Traffic Forecast Report for </w:t>
      </w:r>
      <w:r w:rsidR="00632768">
        <w:t>E-</w:t>
      </w:r>
      <w:r w:rsidR="007E6316">
        <w:t>8461</w:t>
      </w:r>
      <w:r>
        <w:t xml:space="preserve"> (July 2018), 2018 annual average daily</w:t>
      </w:r>
      <w:r w:rsidR="00CB18B5">
        <w:t xml:space="preserve"> </w:t>
      </w:r>
      <w:r>
        <w:t>traffic (AADT) volumes ranged between 11,600 vehicles per day (vpd) along Amboy Road</w:t>
      </w:r>
      <w:r w:rsidR="00CB18B5">
        <w:t xml:space="preserve"> </w:t>
      </w:r>
      <w:r>
        <w:t>between I-240 and Carrier Park Driveway, and 18,400 vpd along Meadow Road between</w:t>
      </w:r>
      <w:r w:rsidR="00CB18B5">
        <w:t xml:space="preserve"> </w:t>
      </w:r>
      <w:r>
        <w:t>Amboy Road and Victoria Road (refer to Appendix B). These volumes are forecasted to</w:t>
      </w:r>
      <w:r w:rsidR="00CB18B5">
        <w:t xml:space="preserve"> </w:t>
      </w:r>
      <w:r>
        <w:t>increase to between approximately 13,800 and 21,900, in these same locations,</w:t>
      </w:r>
      <w:r w:rsidR="00CB18B5">
        <w:t xml:space="preserve"> </w:t>
      </w:r>
      <w:r>
        <w:t>respectively, in 2040 without construction of the project.</w:t>
      </w:r>
    </w:p>
    <w:p w:rsidR="009120C0" w:rsidP="009120C0" w:rsidRDefault="009120C0" w14:paraId="4BA520DB" w14:textId="579F88CE">
      <w:r>
        <w:t>Based on the Capacity Analysis (SR 3556 (Amboy Road/Meadow Road) Improvements,</w:t>
      </w:r>
      <w:r w:rsidR="00CB18B5">
        <w:t xml:space="preserve"> </w:t>
      </w:r>
      <w:r>
        <w:t>March 2019), for the 2018 Base Year No-Build Scenario:</w:t>
      </w:r>
    </w:p>
    <w:p w:rsidR="009120C0" w:rsidP="00CB18B5" w:rsidRDefault="009120C0" w14:paraId="7077ECEC" w14:textId="055FFF8B">
      <w:pPr>
        <w:pStyle w:val="ListParagraph"/>
        <w:numPr>
          <w:ilvl w:val="0"/>
          <w:numId w:val="3"/>
        </w:numPr>
      </w:pPr>
      <w:r>
        <w:t>During the AM peak period, 3 of 5 signalized intersections are operating at LOS E</w:t>
      </w:r>
      <w:r w:rsidR="00CB18B5">
        <w:t xml:space="preserve"> </w:t>
      </w:r>
      <w:r>
        <w:t>or F.</w:t>
      </w:r>
    </w:p>
    <w:p w:rsidR="009120C0" w:rsidP="00CB18B5" w:rsidRDefault="009120C0" w14:paraId="113D68AB" w14:textId="478295D9">
      <w:pPr>
        <w:pStyle w:val="ListParagraph"/>
        <w:numPr>
          <w:ilvl w:val="0"/>
          <w:numId w:val="3"/>
        </w:numPr>
      </w:pPr>
      <w:r>
        <w:t>During the PM peak period, 3 of 5 signalized intersections are operating at LOS E</w:t>
      </w:r>
      <w:r w:rsidR="00CB18B5">
        <w:t xml:space="preserve"> </w:t>
      </w:r>
      <w:r>
        <w:t>or F.</w:t>
      </w:r>
    </w:p>
    <w:p w:rsidR="009120C0" w:rsidP="00CB18B5" w:rsidRDefault="009120C0" w14:paraId="04FB9494" w14:textId="6D6BAEAF">
      <w:pPr>
        <w:pStyle w:val="ListParagraph"/>
        <w:numPr>
          <w:ilvl w:val="0"/>
          <w:numId w:val="3"/>
        </w:numPr>
      </w:pPr>
      <w:r>
        <w:t>46% of the “lane groups”, or one or more lanes of an intersection that</w:t>
      </w:r>
      <w:r w:rsidR="00CB18B5">
        <w:t xml:space="preserve"> </w:t>
      </w:r>
      <w:r>
        <w:t>accommodate similar traffic movements are operating at LOS E or F in AM peak</w:t>
      </w:r>
      <w:r w:rsidR="00CB18B5">
        <w:t xml:space="preserve"> </w:t>
      </w:r>
      <w:r>
        <w:t>hour, and 39% are operating at LOS E or F in the PM peak hour.</w:t>
      </w:r>
    </w:p>
    <w:p w:rsidR="009120C0" w:rsidP="00CB18B5" w:rsidRDefault="009120C0" w14:paraId="33AB8773" w14:textId="0158AB4B">
      <w:pPr>
        <w:pStyle w:val="ListParagraph"/>
        <w:numPr>
          <w:ilvl w:val="0"/>
          <w:numId w:val="3"/>
        </w:numPr>
      </w:pPr>
      <w:r>
        <w:t>One movement of the three unsignalized intersections is operating at LOS E or</w:t>
      </w:r>
      <w:r w:rsidR="00CB18B5">
        <w:t xml:space="preserve"> </w:t>
      </w:r>
      <w:r>
        <w:t>worse in a peak hour.</w:t>
      </w:r>
    </w:p>
    <w:p w:rsidR="009120C0" w:rsidP="009120C0" w:rsidRDefault="009120C0" w14:paraId="4FEE6965" w14:textId="7B055427">
      <w:r>
        <w:t>With the expected increase in traffic volumes along the corridor in 2040, further</w:t>
      </w:r>
      <w:r w:rsidR="00CB18B5">
        <w:t xml:space="preserve"> </w:t>
      </w:r>
      <w:r>
        <w:t>operational degradation at the intersections is expected without improvements to the</w:t>
      </w:r>
      <w:r w:rsidR="00CB18B5">
        <w:t xml:space="preserve"> </w:t>
      </w:r>
      <w:r>
        <w:t>corridor, as shown in the results of the capacity analysis for the 2040 Future Year No Build</w:t>
      </w:r>
      <w:r w:rsidR="00CB18B5">
        <w:t xml:space="preserve"> </w:t>
      </w:r>
      <w:r>
        <w:t>Scenario:</w:t>
      </w:r>
    </w:p>
    <w:p w:rsidR="009120C0" w:rsidP="00CB18B5" w:rsidRDefault="009120C0" w14:paraId="084E2BF3" w14:textId="3A5CCC54">
      <w:pPr>
        <w:pStyle w:val="ListParagraph"/>
        <w:numPr>
          <w:ilvl w:val="0"/>
          <w:numId w:val="4"/>
        </w:numPr>
      </w:pPr>
      <w:r>
        <w:t>All five signalized intersections operate at LOS E or worse in at least one peak hour.</w:t>
      </w:r>
    </w:p>
    <w:p w:rsidR="009120C0" w:rsidP="00CB18B5" w:rsidRDefault="009120C0" w14:paraId="16A1C776" w14:textId="1D10E8C9">
      <w:pPr>
        <w:pStyle w:val="ListParagraph"/>
        <w:numPr>
          <w:ilvl w:val="0"/>
          <w:numId w:val="4"/>
        </w:numPr>
      </w:pPr>
      <w:r>
        <w:t>During the AM peak period, 4 of 5 signalized intersections are expected to operate</w:t>
      </w:r>
      <w:r w:rsidR="00CB18B5">
        <w:t xml:space="preserve"> </w:t>
      </w:r>
      <w:r>
        <w:t>at LOS F.</w:t>
      </w:r>
    </w:p>
    <w:p w:rsidR="009120C0" w:rsidP="00CB18B5" w:rsidRDefault="009120C0" w14:paraId="25F05705" w14:textId="6089C165">
      <w:pPr>
        <w:pStyle w:val="ListParagraph"/>
        <w:numPr>
          <w:ilvl w:val="0"/>
          <w:numId w:val="4"/>
        </w:numPr>
      </w:pPr>
      <w:r>
        <w:t>During the PM peak period, 5 of 5 signalized intersections are expected to operate</w:t>
      </w:r>
      <w:r w:rsidR="00CB18B5">
        <w:t xml:space="preserve"> </w:t>
      </w:r>
      <w:r>
        <w:t>at LOS E or F.</w:t>
      </w:r>
    </w:p>
    <w:p w:rsidR="009120C0" w:rsidP="00CB18B5" w:rsidRDefault="009120C0" w14:paraId="6E3160DA" w14:textId="26F4CF39">
      <w:pPr>
        <w:pStyle w:val="ListParagraph"/>
        <w:numPr>
          <w:ilvl w:val="0"/>
          <w:numId w:val="4"/>
        </w:numPr>
      </w:pPr>
      <w:r>
        <w:t>54% of the “lane groups”, or one or more lanes of an intersection that</w:t>
      </w:r>
      <w:r w:rsidR="00CB18B5">
        <w:t xml:space="preserve"> </w:t>
      </w:r>
      <w:r>
        <w:t>accommodate similar traffic movements are operating at LOS E or F in AM peak</w:t>
      </w:r>
      <w:r w:rsidR="00CB18B5">
        <w:t xml:space="preserve"> </w:t>
      </w:r>
      <w:r>
        <w:t>hour, and 71% are expected to operate at LOS E or F in the PM peak hour.</w:t>
      </w:r>
    </w:p>
    <w:p w:rsidR="009120C0" w:rsidP="00CB18B5" w:rsidRDefault="009120C0" w14:paraId="582A3749" w14:textId="1F8FFCD3">
      <w:pPr>
        <w:pStyle w:val="ListParagraph"/>
        <w:numPr>
          <w:ilvl w:val="0"/>
          <w:numId w:val="4"/>
        </w:numPr>
      </w:pPr>
      <w:r>
        <w:t>Six movements of the five unsignalized intersections are expected to operate at</w:t>
      </w:r>
      <w:r w:rsidR="00CB18B5">
        <w:t xml:space="preserve"> </w:t>
      </w:r>
      <w:r>
        <w:t>LOS E or worse in a peak hour.</w:t>
      </w:r>
    </w:p>
    <w:p w:rsidR="009120C0" w:rsidP="009120C0" w:rsidRDefault="009120C0" w14:paraId="636F6120" w14:textId="4A8D9837">
      <w:r>
        <w:lastRenderedPageBreak/>
        <w:t xml:space="preserve">The bridge over the French Broad River is functionally obsolete and </w:t>
      </w:r>
      <w:proofErr w:type="gramStart"/>
      <w:r>
        <w:t>is in need of</w:t>
      </w:r>
      <w:proofErr w:type="gramEnd"/>
      <w:r w:rsidR="00CB18B5">
        <w:t xml:space="preserve"> </w:t>
      </w:r>
      <w:r>
        <w:t>replacement.</w:t>
      </w:r>
      <w:r w:rsidR="00CB18B5">
        <w:t xml:space="preserve">  </w:t>
      </w:r>
      <w:r>
        <w:t>NCDOT Bridge Management Unit records indicate Bridge No. 521 currently has a</w:t>
      </w:r>
      <w:r w:rsidR="00CB18B5">
        <w:t xml:space="preserve"> </w:t>
      </w:r>
      <w:r>
        <w:t>sufficiency rating of 50.48 out of a possible 100 for a new structure. The bridge, built in</w:t>
      </w:r>
      <w:r w:rsidR="00CB18B5">
        <w:t xml:space="preserve"> </w:t>
      </w:r>
      <w:r>
        <w:t>1951, is considered functionally obsolete due to a deck geometry rating of 3 out of 9</w:t>
      </w:r>
      <w:r w:rsidR="00CB18B5">
        <w:t xml:space="preserve"> </w:t>
      </w:r>
      <w:r>
        <w:t>according to Federal Highway Administration standards.</w:t>
      </w:r>
    </w:p>
    <w:p w:rsidR="009120C0" w:rsidP="009120C0" w:rsidRDefault="009120C0" w14:paraId="06E9C34F" w14:textId="01CF6D2F">
      <w:r>
        <w:t>Existing bicycle, pedestrian and greenway facilities within the project area include a few</w:t>
      </w:r>
      <w:r w:rsidR="00CB18B5">
        <w:t xml:space="preserve"> </w:t>
      </w:r>
      <w:r>
        <w:t>short-disconnected sections of sidewalk, with pedestrian crosswalks in four locations, as</w:t>
      </w:r>
      <w:r w:rsidR="00CB18B5">
        <w:t xml:space="preserve"> </w:t>
      </w:r>
      <w:r>
        <w:t>well as the French Broad River Greenway and the signed City of Asheville bike route on</w:t>
      </w:r>
      <w:r w:rsidR="00CB18B5">
        <w:t xml:space="preserve"> </w:t>
      </w:r>
      <w:r>
        <w:t>Lyman Street. Lyman Street, a municipal road, is a City of Asheville bicycle route with</w:t>
      </w:r>
      <w:r w:rsidR="00CB18B5">
        <w:t xml:space="preserve"> </w:t>
      </w:r>
      <w:r>
        <w:t>bicycle lanes in each direction.</w:t>
      </w:r>
    </w:p>
    <w:p w:rsidR="00C2486C" w:rsidP="009120C0" w:rsidRDefault="009120C0" w14:paraId="1D9C6E78" w14:textId="760B3AF7">
      <w:r>
        <w:t>There are existing safety concerns with pedestrian crossings along Amboy Road.</w:t>
      </w:r>
      <w:r w:rsidR="00CB18B5">
        <w:t xml:space="preserve">  </w:t>
      </w:r>
      <w:r>
        <w:t>The project area attracts a high number of bicycle and pedestrian activity due to the</w:t>
      </w:r>
      <w:r w:rsidR="00CB18B5">
        <w:t xml:space="preserve"> </w:t>
      </w:r>
      <w:r>
        <w:t>nearby parks and walkable neighborhoods. FBRMPO staff reported that pedestrian</w:t>
      </w:r>
      <w:r w:rsidR="00CB18B5">
        <w:t xml:space="preserve"> </w:t>
      </w:r>
      <w:r>
        <w:t>crossing safety issues have been observed on Amboy Road; even with installed pedestrian</w:t>
      </w:r>
      <w:r w:rsidR="00CB18B5">
        <w:t xml:space="preserve"> </w:t>
      </w:r>
      <w:r>
        <w:t>crossing signs motorists are traveling at a fast speed and not always observant of</w:t>
      </w:r>
      <w:r w:rsidR="00CB18B5">
        <w:t xml:space="preserve"> </w:t>
      </w:r>
      <w:r>
        <w:t>pedestrians trying to connect from the West Asheville neighborhoods to Carrier Park.</w:t>
      </w:r>
      <w:r w:rsidR="00CB18B5">
        <w:t xml:space="preserve">  </w:t>
      </w:r>
      <w:r>
        <w:t>Based on NCDOT bike and pedestrian crash data, three bicycle crashes occurred at</w:t>
      </w:r>
      <w:r w:rsidR="00CB18B5">
        <w:t xml:space="preserve"> </w:t>
      </w:r>
      <w:r>
        <w:t>Meadow Road intersections and two pedestrian crashes occurred at Amboy Road</w:t>
      </w:r>
      <w:r w:rsidR="00CB18B5">
        <w:t xml:space="preserve"> </w:t>
      </w:r>
      <w:r>
        <w:t>intersections.</w:t>
      </w:r>
    </w:p>
    <w:p w:rsidRPr="000E49C0" w:rsidR="004F5A0C" w:rsidP="004F5A0C" w:rsidRDefault="004F5A0C" w14:paraId="274DC520" w14:textId="4B6AB668">
      <w:pPr>
        <w:spacing w:after="120"/>
        <w:outlineLvl w:val="1"/>
        <w:rPr>
          <w:b/>
        </w:rPr>
      </w:pPr>
      <w:r>
        <w:rPr>
          <w:b/>
        </w:rPr>
        <w:t>3.2</w:t>
      </w:r>
      <w:r>
        <w:rPr>
          <w:b/>
        </w:rPr>
        <w:tab/>
      </w:r>
      <w:r>
        <w:rPr>
          <w:b/>
        </w:rPr>
        <w:t>Proposed Purpose</w:t>
      </w:r>
    </w:p>
    <w:p w:rsidR="004F5A0C" w:rsidP="004F5A0C" w:rsidRDefault="004F5A0C" w14:paraId="6D9021B5" w14:textId="18674DE2">
      <w:pPr>
        <w:pStyle w:val="Hidden"/>
      </w:pPr>
      <w:r>
        <w:t xml:space="preserve">This section should </w:t>
      </w:r>
      <w:r w:rsidR="00F952AE">
        <w:t xml:space="preserve">describe the proposed approach that will </w:t>
      </w:r>
      <w:r w:rsidR="00942CD9">
        <w:t xml:space="preserve">allow the needs of the project to be met.  As is the case with the </w:t>
      </w:r>
      <w:r w:rsidR="00B84584">
        <w:t>need</w:t>
      </w:r>
      <w:r w:rsidR="00942CD9">
        <w:t xml:space="preserve"> statement, there may be primary and secondary </w:t>
      </w:r>
      <w:r w:rsidR="00B84584">
        <w:t>purposes</w:t>
      </w:r>
      <w:r w:rsidR="00942CD9">
        <w:t xml:space="preserve"> for a project.  </w:t>
      </w:r>
      <w:r w:rsidR="004A6CCC">
        <w:t xml:space="preserve">Note that a build alternative must meet the proposed purpose and need of a project to be considered a Least Environmentally </w:t>
      </w:r>
      <w:r w:rsidR="00006160">
        <w:t xml:space="preserve">Damaging </w:t>
      </w:r>
      <w:r w:rsidR="004A6CCC">
        <w:t>Practicable Alternative (LEDPA)</w:t>
      </w:r>
      <w:r>
        <w:t>.</w:t>
      </w:r>
    </w:p>
    <w:p w:rsidR="005F2067" w:rsidP="380D4D3E" w:rsidRDefault="5A3B2E3A" w14:paraId="664B978D" w14:textId="6D6FD1F1">
      <w:pPr>
        <w:rPr>
          <w:rFonts w:ascii="Calibri" w:hAnsi="Calibri" w:eastAsia="Calibri" w:cs="Calibri"/>
          <w:color w:val="000000" w:themeColor="text1"/>
        </w:rPr>
      </w:pPr>
      <w:r w:rsidRPr="380D4D3E">
        <w:rPr>
          <w:rFonts w:ascii="Calibri" w:hAnsi="Calibri" w:eastAsia="Calibri" w:cs="Calibri"/>
          <w:color w:val="FF0000"/>
        </w:rPr>
        <w:t>Example Text</w:t>
      </w:r>
      <w:r>
        <w:t xml:space="preserve"> </w:t>
      </w:r>
      <w:r w:rsidR="005F2067">
        <w:t xml:space="preserve">The </w:t>
      </w:r>
      <w:r w:rsidR="00006160">
        <w:t>purpose</w:t>
      </w:r>
      <w:r w:rsidR="005F2067">
        <w:t xml:space="preserve"> for the proposed action is as follows:</w:t>
      </w:r>
    </w:p>
    <w:p w:rsidR="005F2067" w:rsidP="005F2067" w:rsidRDefault="005F2067" w14:paraId="4C6C5F3D" w14:textId="47524386">
      <w:pPr>
        <w:pStyle w:val="ListParagraph"/>
        <w:numPr>
          <w:ilvl w:val="0"/>
          <w:numId w:val="5"/>
        </w:numPr>
      </w:pPr>
      <w:r>
        <w:t>Address the operational and capacity deficiencies that exist at the intersections within the project corridor.</w:t>
      </w:r>
    </w:p>
    <w:p w:rsidR="005F2067" w:rsidP="005F2067" w:rsidRDefault="005F2067" w14:paraId="1CEE8C88" w14:textId="563578C2">
      <w:pPr>
        <w:pStyle w:val="ListParagraph"/>
        <w:numPr>
          <w:ilvl w:val="0"/>
          <w:numId w:val="5"/>
        </w:numPr>
      </w:pPr>
      <w:r>
        <w:t>Replace Bridge No. 521 over the French Broad River</w:t>
      </w:r>
    </w:p>
    <w:p w:rsidR="004F5A0C" w:rsidP="005F2067" w:rsidRDefault="005F2067" w14:paraId="27E21509" w14:textId="08F1EFFC">
      <w:pPr>
        <w:pStyle w:val="ListParagraph"/>
        <w:numPr>
          <w:ilvl w:val="0"/>
          <w:numId w:val="5"/>
        </w:numPr>
      </w:pPr>
      <w:r>
        <w:t>Improve bicycle and pedestrian accommodations by providing a multimodal corridor that is compatible with the city of Asheville’s Wilma Dykeman Riverway Master Plan and other local plans.</w:t>
      </w:r>
    </w:p>
    <w:p w:rsidR="00B032C2" w:rsidP="00BF7764" w:rsidRDefault="00B36F85" w14:paraId="44905F14" w14:textId="0637039D">
      <w:pPr>
        <w:spacing w:after="120"/>
        <w:outlineLvl w:val="1"/>
        <w:rPr>
          <w:b/>
        </w:rPr>
      </w:pPr>
      <w:r>
        <w:rPr>
          <w:b/>
        </w:rPr>
        <w:t>3.3</w:t>
      </w:r>
      <w:r>
        <w:rPr>
          <w:b/>
        </w:rPr>
        <w:tab/>
      </w:r>
      <w:r w:rsidRPr="00BF7764" w:rsidR="00BF7764">
        <w:rPr>
          <w:b/>
        </w:rPr>
        <w:t xml:space="preserve">Proposed </w:t>
      </w:r>
      <w:r w:rsidRPr="00BB68DC" w:rsidR="00BF7764">
        <w:rPr>
          <w:b/>
        </w:rPr>
        <w:t xml:space="preserve">Purpose and Need </w:t>
      </w:r>
      <w:r w:rsidRPr="00BF7764" w:rsidR="00BF7764">
        <w:rPr>
          <w:b/>
        </w:rPr>
        <w:t>Statement</w:t>
      </w:r>
    </w:p>
    <w:p w:rsidR="00B36F85" w:rsidP="00CC23E8" w:rsidRDefault="00CC23E8" w14:paraId="07925AF5" w14:textId="0645F5DC">
      <w:pPr>
        <w:pStyle w:val="Hidden"/>
      </w:pPr>
      <w:r>
        <w:t>This section should include the summary of the purpose and need that is proposed to be included on the concurrence form.</w:t>
      </w:r>
    </w:p>
    <w:p w:rsidRPr="00B40DF1" w:rsidR="00CC23E8" w:rsidP="380D4D3E" w:rsidRDefault="25DC76FB" w14:paraId="1F0BC033" w14:textId="16B429C3">
      <w:pPr>
        <w:spacing w:after="120"/>
        <w:rPr>
          <w:rFonts w:ascii="Calibri" w:hAnsi="Calibri" w:eastAsia="Calibri" w:cs="Calibri"/>
          <w:color w:val="000000" w:themeColor="text1"/>
        </w:rPr>
      </w:pPr>
      <w:r w:rsidRPr="380D4D3E">
        <w:rPr>
          <w:rFonts w:ascii="Calibri" w:hAnsi="Calibri" w:eastAsia="Calibri" w:cs="Calibri"/>
          <w:color w:val="FF0000"/>
        </w:rPr>
        <w:t>Example Text</w:t>
      </w:r>
      <w:r>
        <w:t xml:space="preserve"> </w:t>
      </w:r>
      <w:r w:rsidR="00B40DF1">
        <w:t xml:space="preserve">This project is designed to </w:t>
      </w:r>
      <w:r w:rsidR="008064B1">
        <w:t xml:space="preserve">update the facility to current design standards, address bicycle and pedestrian needs along the project corridor, and </w:t>
      </w:r>
      <w:r w:rsidR="002B067A">
        <w:t>replace the functionally obsolete bridge over the French Broad River.</w:t>
      </w:r>
    </w:p>
    <w:p w:rsidR="00B032C2" w:rsidP="00B032C2" w:rsidRDefault="00B032C2" w14:paraId="2EB50000" w14:textId="19D5329E">
      <w:pPr>
        <w:pStyle w:val="ListParagraph"/>
        <w:numPr>
          <w:ilvl w:val="0"/>
          <w:numId w:val="1"/>
        </w:numPr>
        <w:spacing w:after="120"/>
        <w:ind w:left="360"/>
        <w:outlineLvl w:val="0"/>
        <w:rPr>
          <w:b/>
          <w:sz w:val="24"/>
          <w:szCs w:val="24"/>
        </w:rPr>
      </w:pPr>
      <w:r>
        <w:rPr>
          <w:b/>
          <w:sz w:val="24"/>
          <w:szCs w:val="24"/>
        </w:rPr>
        <w:t xml:space="preserve">Project </w:t>
      </w:r>
      <w:r w:rsidRPr="00BB68DC">
        <w:rPr>
          <w:b/>
          <w:sz w:val="24"/>
          <w:szCs w:val="24"/>
        </w:rPr>
        <w:t xml:space="preserve">Study Area </w:t>
      </w:r>
      <w:r>
        <w:rPr>
          <w:b/>
          <w:sz w:val="24"/>
          <w:szCs w:val="24"/>
        </w:rPr>
        <w:t>Defined</w:t>
      </w:r>
    </w:p>
    <w:p w:rsidR="00B032C2" w:rsidP="009361E9" w:rsidRDefault="00B032C2" w14:paraId="578BA922" w14:textId="2F0C2AAB">
      <w:pPr>
        <w:pStyle w:val="Hidden"/>
      </w:pPr>
      <w:r>
        <w:t xml:space="preserve">This section should </w:t>
      </w:r>
      <w:r w:rsidR="009361E9">
        <w:t>discuss the general size of the study area.  It should allow for a discussion about the proposed project limits</w:t>
      </w:r>
      <w:r w:rsidR="008B374D">
        <w:t>;</w:t>
      </w:r>
      <w:r w:rsidR="009361E9">
        <w:t xml:space="preserve"> the area for which utility accommodations or </w:t>
      </w:r>
      <w:r w:rsidR="00D35473">
        <w:t>intersecting road realignments may be needed</w:t>
      </w:r>
      <w:r w:rsidR="008B374D">
        <w:t>;</w:t>
      </w:r>
      <w:r w:rsidR="00D35473">
        <w:t xml:space="preserve"> and should include the area in which direct impacts (</w:t>
      </w:r>
      <w:proofErr w:type="gramStart"/>
      <w:r w:rsidR="008D052C">
        <w:t>e.g.</w:t>
      </w:r>
      <w:proofErr w:type="gramEnd"/>
      <w:r w:rsidR="008D052C">
        <w:t xml:space="preserve"> </w:t>
      </w:r>
      <w:r w:rsidR="00D35473">
        <w:t xml:space="preserve">construction impacts, loss of access, etc.) may occur.  Note that there are other study areas that may be developed for community impacts, demographic impacts, land use study areas, etc.  This study area should be large enough that it covers all direct impact areas associated with potential </w:t>
      </w:r>
      <w:r w:rsidR="00D35473">
        <w:lastRenderedPageBreak/>
        <w:t>alternatives, but not so large as to require extensive surveys of areas very unlikely to be directly impacted by the project.</w:t>
      </w:r>
      <w:r w:rsidR="008B374D">
        <w:t xml:space="preserve">  </w:t>
      </w:r>
      <w:r w:rsidR="0001504C">
        <w:t>The proposed study area should be shown on a figure and referenced in this section.</w:t>
      </w:r>
    </w:p>
    <w:p w:rsidR="00D35473" w:rsidP="380D4D3E" w:rsidRDefault="04DBF4A4" w14:paraId="5A28E5DF" w14:textId="76CA3165">
      <w:pPr>
        <w:rPr>
          <w:rFonts w:ascii="Calibri" w:hAnsi="Calibri" w:eastAsia="Calibri" w:cs="Calibri"/>
          <w:color w:val="000000" w:themeColor="text1"/>
        </w:rPr>
      </w:pPr>
      <w:r w:rsidRPr="380D4D3E">
        <w:rPr>
          <w:rFonts w:ascii="Calibri" w:hAnsi="Calibri" w:eastAsia="Calibri" w:cs="Calibri"/>
          <w:color w:val="FF0000"/>
        </w:rPr>
        <w:t>Example Text</w:t>
      </w:r>
      <w:r>
        <w:t xml:space="preserve"> </w:t>
      </w:r>
      <w:r w:rsidR="00D35473">
        <w:t xml:space="preserve">The proposed </w:t>
      </w:r>
      <w:r w:rsidR="00AB7B4A">
        <w:t>Project S</w:t>
      </w:r>
      <w:r w:rsidR="00D35473">
        <w:t xml:space="preserve">tudy </w:t>
      </w:r>
      <w:r w:rsidR="00AB7B4A">
        <w:t>A</w:t>
      </w:r>
      <w:r w:rsidR="00D35473">
        <w:t xml:space="preserve">rea developed to address the </w:t>
      </w:r>
      <w:r w:rsidR="00AB7B4A">
        <w:t>P</w:t>
      </w:r>
      <w:r w:rsidR="00D35473">
        <w:t xml:space="preserve">urpose and </w:t>
      </w:r>
      <w:r w:rsidR="00AB7B4A">
        <w:t>N</w:t>
      </w:r>
      <w:r w:rsidR="00D35473">
        <w:t xml:space="preserve">eed of </w:t>
      </w:r>
      <w:r w:rsidRPr="00AB7B4A" w:rsidR="00AB7B4A">
        <w:t>E-8461</w:t>
      </w:r>
      <w:r w:rsidR="0095381F">
        <w:t xml:space="preserve"> </w:t>
      </w:r>
      <w:r w:rsidR="00D35473">
        <w:t xml:space="preserve">is shown in Figures 1 and 4. The study area ranges between 300‐620 feet wide and begins just east of I‐240 and extends approximately 1.12 miles east along Amboy Road to Meadow Road. The </w:t>
      </w:r>
      <w:r w:rsidR="0095381F">
        <w:t>S</w:t>
      </w:r>
      <w:r w:rsidR="00D35473">
        <w:t xml:space="preserve">tudy </w:t>
      </w:r>
      <w:r w:rsidR="0095381F">
        <w:t>A</w:t>
      </w:r>
      <w:r w:rsidR="00D35473">
        <w:t xml:space="preserve">rea continues south along Meadow Road for approximately 1.54 miles to the project terminus at Biltmore Avenue. The </w:t>
      </w:r>
      <w:r w:rsidR="0095381F">
        <w:t>S</w:t>
      </w:r>
      <w:r w:rsidR="00D35473">
        <w:t xml:space="preserve">tudy </w:t>
      </w:r>
      <w:r w:rsidR="0095381F">
        <w:t>A</w:t>
      </w:r>
      <w:r w:rsidR="00D35473">
        <w:t>rea also extends along the following intersecting roads:</w:t>
      </w:r>
    </w:p>
    <w:p w:rsidR="00D35473" w:rsidP="00D35473" w:rsidRDefault="00D35473" w14:paraId="6E07897B" w14:textId="104027F1">
      <w:pPr>
        <w:pStyle w:val="ListParagraph"/>
        <w:numPr>
          <w:ilvl w:val="0"/>
          <w:numId w:val="6"/>
        </w:numPr>
      </w:pPr>
      <w:r>
        <w:t>400 linear feet north along Short Michigan Avenue</w:t>
      </w:r>
    </w:p>
    <w:p w:rsidR="00D35473" w:rsidP="00D35473" w:rsidRDefault="00D35473" w14:paraId="47686664" w14:textId="38989172">
      <w:pPr>
        <w:pStyle w:val="ListParagraph"/>
        <w:numPr>
          <w:ilvl w:val="0"/>
          <w:numId w:val="6"/>
        </w:numPr>
      </w:pPr>
      <w:r>
        <w:t>915 linear feet north along State Street, also extending 330 linear feet east along Lamb Avenue and Joyner Avenue</w:t>
      </w:r>
    </w:p>
    <w:p w:rsidR="00D35473" w:rsidP="00D35473" w:rsidRDefault="00D35473" w14:paraId="0B2CEDFC" w14:textId="637804FD">
      <w:pPr>
        <w:pStyle w:val="ListParagraph"/>
        <w:numPr>
          <w:ilvl w:val="0"/>
          <w:numId w:val="6"/>
        </w:numPr>
      </w:pPr>
      <w:r>
        <w:t>628 linear feet north along Riverview Drive</w:t>
      </w:r>
    </w:p>
    <w:p w:rsidR="00D35473" w:rsidP="00D35473" w:rsidRDefault="00D35473" w14:paraId="55B2A65A" w14:textId="25F4360F">
      <w:pPr>
        <w:pStyle w:val="ListParagraph"/>
        <w:numPr>
          <w:ilvl w:val="0"/>
          <w:numId w:val="6"/>
        </w:numPr>
      </w:pPr>
      <w:r>
        <w:t>748 linear feet north along Lyman Street</w:t>
      </w:r>
    </w:p>
    <w:p w:rsidR="00D35473" w:rsidP="00D35473" w:rsidRDefault="00D35473" w14:paraId="41A4A150" w14:textId="0B7136E7">
      <w:pPr>
        <w:pStyle w:val="ListParagraph"/>
        <w:numPr>
          <w:ilvl w:val="0"/>
          <w:numId w:val="6"/>
        </w:numPr>
      </w:pPr>
      <w:r>
        <w:t>1,466 linear feet north along Victoria Road</w:t>
      </w:r>
    </w:p>
    <w:p w:rsidR="007C1616" w:rsidP="006F780E" w:rsidRDefault="444C200D" w14:paraId="1401F7C2" w14:textId="1DCFB35E">
      <w:pPr>
        <w:pStyle w:val="ListParagraph"/>
        <w:numPr>
          <w:ilvl w:val="0"/>
          <w:numId w:val="6"/>
        </w:numPr>
        <w:spacing w:after="120"/>
        <w:contextualSpacing w:val="0"/>
      </w:pPr>
      <w:r>
        <w:t>900 linear feet north and south along Biltmore Avenue.</w:t>
      </w:r>
    </w:p>
    <w:p w:rsidRPr="00645503" w:rsidR="00B93EA2" w:rsidP="00645503" w:rsidRDefault="00645503" w14:paraId="13D94C79" w14:textId="7341A4EC">
      <w:pPr>
        <w:pStyle w:val="ListParagraph"/>
        <w:numPr>
          <w:ilvl w:val="0"/>
          <w:numId w:val="1"/>
        </w:numPr>
        <w:spacing w:before="120" w:after="120"/>
        <w:ind w:left="360"/>
        <w:outlineLvl w:val="0"/>
        <w:rPr>
          <w:b/>
          <w:sz w:val="24"/>
          <w:szCs w:val="24"/>
        </w:rPr>
      </w:pPr>
      <w:r w:rsidRPr="00645503">
        <w:rPr>
          <w:b/>
          <w:sz w:val="24"/>
          <w:szCs w:val="24"/>
        </w:rPr>
        <w:t>Avoidance and Minimization</w:t>
      </w:r>
    </w:p>
    <w:p w:rsidRPr="00C10F7D" w:rsidR="00645503" w:rsidP="00645503" w:rsidRDefault="00645503" w14:paraId="79C411B8" w14:textId="2B5EDCBB">
      <w:pPr>
        <w:spacing w:after="120"/>
        <w:rPr>
          <w:rFonts w:asciiTheme="majorHAnsi" w:hAnsiTheme="majorHAnsi" w:cstheme="majorHAnsi"/>
          <w:b/>
          <w:vanish/>
          <w:color w:val="7030A0"/>
          <w:sz w:val="20"/>
          <w:szCs w:val="20"/>
        </w:rPr>
      </w:pPr>
      <w:r w:rsidRPr="00C10F7D">
        <w:rPr>
          <w:b/>
          <w:vanish/>
          <w:color w:val="7030A0"/>
        </w:rPr>
        <w:t xml:space="preserve">Include all documented avoidance and minimization measures discussed to-date.  Use AMM Guidance from </w:t>
      </w:r>
      <w:r w:rsidRPr="00BB68DC">
        <w:rPr>
          <w:b/>
          <w:i/>
          <w:iCs/>
          <w:vanish/>
          <w:color w:val="7030A0"/>
        </w:rPr>
        <w:t>At ALL Merger Concurrence Points and key design meetings</w:t>
      </w:r>
      <w:r w:rsidRPr="00BB68DC" w:rsidR="000124CF">
        <w:rPr>
          <w:b/>
          <w:i/>
          <w:iCs/>
          <w:vanish/>
          <w:color w:val="4472C4" w:themeColor="accent1"/>
        </w:rPr>
        <w:t>.</w:t>
      </w:r>
    </w:p>
    <w:p w:rsidRPr="0054283A" w:rsidR="000124CF" w:rsidP="0054283A" w:rsidRDefault="000124CF" w14:paraId="41B4173E" w14:textId="65763041">
      <w:pPr>
        <w:pStyle w:val="paragraph"/>
        <w:spacing w:before="0" w:beforeAutospacing="0" w:after="0" w:afterAutospacing="0"/>
        <w:textAlignment w:val="baseline"/>
        <w:rPr>
          <w:rFonts w:ascii="Segoe UI" w:hAnsi="Segoe UI" w:cs="Segoe UI"/>
          <w:sz w:val="18"/>
          <w:szCs w:val="18"/>
        </w:rPr>
      </w:pPr>
      <w:r w:rsidRPr="380D4D3E">
        <w:rPr>
          <w:rFonts w:ascii="Calibri" w:hAnsi="Calibri" w:eastAsia="Calibri" w:cs="Calibri"/>
          <w:color w:val="FF0000"/>
        </w:rPr>
        <w:t>Example Text</w:t>
      </w:r>
      <w:r w:rsidR="00997DAA">
        <w:rPr>
          <w:rFonts w:ascii="Calibri" w:hAnsi="Calibri" w:eastAsia="Calibri" w:cs="Calibri"/>
          <w:color w:val="FF0000"/>
        </w:rPr>
        <w:t xml:space="preserve"> </w:t>
      </w:r>
      <w:r w:rsidRPr="00077797" w:rsidR="007F463C">
        <w:rPr>
          <w:rFonts w:asciiTheme="minorHAnsi" w:hAnsiTheme="minorHAnsi" w:eastAsiaTheme="minorHAnsi" w:cstheme="minorBidi"/>
          <w:sz w:val="22"/>
          <w:szCs w:val="22"/>
        </w:rPr>
        <w:t xml:space="preserve">During </w:t>
      </w:r>
      <w:r w:rsidR="00077797">
        <w:rPr>
          <w:rFonts w:asciiTheme="minorHAnsi" w:hAnsiTheme="minorHAnsi" w:eastAsiaTheme="minorHAnsi" w:cstheme="minorBidi"/>
          <w:sz w:val="22"/>
          <w:szCs w:val="22"/>
        </w:rPr>
        <w:t>p</w:t>
      </w:r>
      <w:r w:rsidRPr="00077797" w:rsidR="007F463C">
        <w:rPr>
          <w:rFonts w:asciiTheme="minorHAnsi" w:hAnsiTheme="minorHAnsi" w:eastAsiaTheme="minorHAnsi" w:cstheme="minorBidi"/>
          <w:sz w:val="22"/>
          <w:szCs w:val="22"/>
        </w:rPr>
        <w:t xml:space="preserve">roject </w:t>
      </w:r>
      <w:r w:rsidR="00077797">
        <w:rPr>
          <w:rFonts w:asciiTheme="minorHAnsi" w:hAnsiTheme="minorHAnsi" w:eastAsiaTheme="minorHAnsi" w:cstheme="minorBidi"/>
          <w:sz w:val="22"/>
          <w:szCs w:val="22"/>
        </w:rPr>
        <w:t>s</w:t>
      </w:r>
      <w:r w:rsidRPr="00077797" w:rsidR="007F463C">
        <w:rPr>
          <w:rFonts w:asciiTheme="minorHAnsi" w:hAnsiTheme="minorHAnsi" w:eastAsiaTheme="minorHAnsi" w:cstheme="minorBidi"/>
          <w:sz w:val="22"/>
          <w:szCs w:val="22"/>
        </w:rPr>
        <w:t>coping</w:t>
      </w:r>
      <w:r w:rsidR="00077797">
        <w:rPr>
          <w:rFonts w:asciiTheme="minorHAnsi" w:hAnsiTheme="minorHAnsi" w:eastAsiaTheme="minorHAnsi" w:cstheme="minorBidi"/>
          <w:sz w:val="22"/>
          <w:szCs w:val="22"/>
        </w:rPr>
        <w:t>,</w:t>
      </w:r>
      <w:r w:rsidRPr="00077797" w:rsidR="007F463C">
        <w:rPr>
          <w:rFonts w:asciiTheme="minorHAnsi" w:hAnsiTheme="minorHAnsi" w:eastAsiaTheme="minorHAnsi" w:cstheme="minorBidi"/>
          <w:sz w:val="22"/>
          <w:szCs w:val="22"/>
        </w:rPr>
        <w:t xml:space="preserve"> the </w:t>
      </w:r>
      <w:r w:rsidR="00077797">
        <w:rPr>
          <w:rFonts w:asciiTheme="minorHAnsi" w:hAnsiTheme="minorHAnsi" w:eastAsiaTheme="minorHAnsi" w:cstheme="minorBidi"/>
          <w:sz w:val="22"/>
          <w:szCs w:val="22"/>
        </w:rPr>
        <w:t>S</w:t>
      </w:r>
      <w:r w:rsidRPr="00077797" w:rsidR="007F463C">
        <w:rPr>
          <w:rFonts w:asciiTheme="minorHAnsi" w:hAnsiTheme="minorHAnsi" w:eastAsiaTheme="minorHAnsi" w:cstheme="minorBidi"/>
          <w:sz w:val="22"/>
          <w:szCs w:val="22"/>
        </w:rPr>
        <w:t xml:space="preserve">tudy </w:t>
      </w:r>
      <w:r w:rsidR="00077797">
        <w:rPr>
          <w:rFonts w:asciiTheme="minorHAnsi" w:hAnsiTheme="minorHAnsi" w:eastAsiaTheme="minorHAnsi" w:cstheme="minorBidi"/>
          <w:sz w:val="22"/>
          <w:szCs w:val="22"/>
        </w:rPr>
        <w:t>A</w:t>
      </w:r>
      <w:r w:rsidRPr="00077797" w:rsidR="007F463C">
        <w:rPr>
          <w:rFonts w:asciiTheme="minorHAnsi" w:hAnsiTheme="minorHAnsi" w:eastAsiaTheme="minorHAnsi" w:cstheme="minorBidi"/>
          <w:sz w:val="22"/>
          <w:szCs w:val="22"/>
        </w:rPr>
        <w:t xml:space="preserve">rea corridor limits were chosen </w:t>
      </w:r>
      <w:proofErr w:type="gramStart"/>
      <w:r w:rsidRPr="00077797" w:rsidR="007F463C">
        <w:rPr>
          <w:rFonts w:asciiTheme="minorHAnsi" w:hAnsiTheme="minorHAnsi" w:eastAsiaTheme="minorHAnsi" w:cstheme="minorBidi"/>
          <w:sz w:val="22"/>
          <w:szCs w:val="22"/>
        </w:rPr>
        <w:t>in order to</w:t>
      </w:r>
      <w:proofErr w:type="gramEnd"/>
      <w:r w:rsidRPr="00077797" w:rsidR="007F463C">
        <w:rPr>
          <w:rFonts w:asciiTheme="minorHAnsi" w:hAnsiTheme="minorHAnsi" w:eastAsiaTheme="minorHAnsi" w:cstheme="minorBidi"/>
          <w:sz w:val="22"/>
          <w:szCs w:val="22"/>
        </w:rPr>
        <w:t xml:space="preserve"> avoid impacts </w:t>
      </w:r>
      <w:r w:rsidRPr="00077797" w:rsidR="0096430D">
        <w:rPr>
          <w:rFonts w:asciiTheme="minorHAnsi" w:hAnsiTheme="minorHAnsi" w:eastAsiaTheme="minorHAnsi" w:cstheme="minorBidi"/>
          <w:sz w:val="22"/>
          <w:szCs w:val="22"/>
        </w:rPr>
        <w:t>to nearby wetlands</w:t>
      </w:r>
      <w:r w:rsidR="0054283A">
        <w:rPr>
          <w:rFonts w:asciiTheme="minorHAnsi" w:hAnsiTheme="minorHAnsi" w:eastAsiaTheme="minorHAnsi" w:cstheme="minorBidi"/>
          <w:sz w:val="22"/>
          <w:szCs w:val="22"/>
        </w:rPr>
        <w:t>.</w:t>
      </w:r>
    </w:p>
    <w:p w:rsidR="007C1616" w:rsidP="006F780E" w:rsidRDefault="0070760C" w14:paraId="548E74A7" w14:textId="59A2132A">
      <w:pPr>
        <w:pStyle w:val="ListParagraph"/>
        <w:numPr>
          <w:ilvl w:val="0"/>
          <w:numId w:val="1"/>
        </w:numPr>
        <w:spacing w:before="120" w:after="120"/>
        <w:ind w:left="360"/>
        <w:outlineLvl w:val="0"/>
        <w:rPr>
          <w:b/>
          <w:sz w:val="24"/>
          <w:szCs w:val="24"/>
        </w:rPr>
      </w:pPr>
      <w:r>
        <w:rPr>
          <w:b/>
          <w:sz w:val="24"/>
          <w:szCs w:val="24"/>
        </w:rPr>
        <w:t>Merger Plan</w:t>
      </w:r>
      <w:r w:rsidR="00796D36">
        <w:rPr>
          <w:b/>
          <w:sz w:val="24"/>
          <w:szCs w:val="24"/>
        </w:rPr>
        <w:t xml:space="preserve"> Review</w:t>
      </w:r>
      <w:r>
        <w:rPr>
          <w:b/>
          <w:sz w:val="24"/>
          <w:szCs w:val="24"/>
        </w:rPr>
        <w:t>/Next Steps</w:t>
      </w:r>
    </w:p>
    <w:p w:rsidR="007C1616" w:rsidP="5A99BFD4" w:rsidRDefault="007C1616" w14:paraId="781E11C4" w14:textId="504BE35D">
      <w:pPr>
        <w:pStyle w:val="Hidden"/>
        <w:rPr>
          <w:rStyle w:val="normaltextrun"/>
        </w:rPr>
      </w:pPr>
      <w:r>
        <w:t xml:space="preserve">This section should </w:t>
      </w:r>
      <w:r w:rsidR="00352698">
        <w:t xml:space="preserve">include a brief discussion </w:t>
      </w:r>
      <w:r w:rsidR="008C32D4">
        <w:t xml:space="preserve">of </w:t>
      </w:r>
      <w:r w:rsidR="00A030EB">
        <w:t>next steps</w:t>
      </w:r>
      <w:r>
        <w:t>.</w:t>
      </w:r>
      <w:r w:rsidR="006B638C">
        <w:t xml:space="preserve">  </w:t>
      </w:r>
      <w:r w:rsidR="15A6FFB4">
        <w:t>As noted in Section 1.2, t</w:t>
      </w:r>
      <w:r w:rsidR="00393AD3">
        <w:t>o access the Merger Plan, click on the hyperlink embedded in this Merger Packet</w:t>
      </w:r>
      <w:r w:rsidR="5413B3D3">
        <w:t xml:space="preserve">.  If packet concurrence is achieved, the Project Manager will make needed changes to the plan based on agency comment and </w:t>
      </w:r>
      <w:r w:rsidR="2786BBAA">
        <w:t xml:space="preserve">update the plan on the project SharePoint site.  If a meeting is held, there should be a discussion about the draft Merger Plan and any changes that will be made based on agency input during the meeting. </w:t>
      </w:r>
    </w:p>
    <w:p w:rsidR="007C1616" w:rsidP="380D4D3E" w:rsidRDefault="4C26B10D" w14:paraId="0C77EAA7" w14:textId="5CD6E684">
      <w:pPr>
        <w:rPr>
          <w:rFonts w:ascii="Calibri" w:hAnsi="Calibri" w:eastAsia="Calibri" w:cs="Calibri"/>
          <w:color w:val="000000" w:themeColor="text1"/>
        </w:rPr>
      </w:pPr>
      <w:r w:rsidRPr="380D4D3E">
        <w:rPr>
          <w:rFonts w:ascii="Calibri" w:hAnsi="Calibri" w:eastAsia="Calibri" w:cs="Calibri"/>
          <w:color w:val="FF0000"/>
        </w:rPr>
        <w:t>Example Text</w:t>
      </w:r>
      <w:r>
        <w:t xml:space="preserve"> </w:t>
      </w:r>
      <w:r w:rsidR="0017464B">
        <w:t xml:space="preserve">Based on the </w:t>
      </w:r>
      <w:r w:rsidRPr="00D82D10" w:rsidR="0017464B">
        <w:t xml:space="preserve">Merger Plan for </w:t>
      </w:r>
      <w:r w:rsidR="0017464B">
        <w:t xml:space="preserve">the project, NCDOT proposes that the </w:t>
      </w:r>
      <w:r w:rsidR="00813B5C">
        <w:t>next Merger Meeting will be a combined CP</w:t>
      </w:r>
      <w:r w:rsidR="00B02811">
        <w:t xml:space="preserve"> </w:t>
      </w:r>
      <w:r w:rsidR="00813B5C">
        <w:t>2 (Alternatives Considered) and CP</w:t>
      </w:r>
      <w:r w:rsidR="00B02811">
        <w:t xml:space="preserve"> </w:t>
      </w:r>
      <w:r w:rsidR="00813B5C">
        <w:t xml:space="preserve">2A (Major Hydraulic Crossing Structures and Alignment Defined).  </w:t>
      </w:r>
      <w:r w:rsidR="00AB6CD2">
        <w:t>Prior to the next Merger Meeting, NCDOT will complete the Hydraulic Planning Report</w:t>
      </w:r>
      <w:r w:rsidR="006D5F8B">
        <w:t xml:space="preserve">, natural systems studies, and </w:t>
      </w:r>
      <w:r w:rsidR="008C2B6E">
        <w:t xml:space="preserve">roadway designs based on surveyed data will be available for review.  </w:t>
      </w:r>
      <w:r w:rsidR="00B02811">
        <w:t>It is anticipated that the combined CP 2/CP 2A meeting will be held in six months</w:t>
      </w:r>
      <w:r w:rsidR="0059425A">
        <w:t xml:space="preserve">; Merger Team members will be notified of any changes that require a revision of this timetable. </w:t>
      </w:r>
    </w:p>
    <w:p w:rsidR="444C200D" w:rsidP="444C200D" w:rsidRDefault="444C200D" w14:paraId="4519A9BA" w14:textId="5D0602B6"/>
    <w:sectPr w:rsidR="444C200D" w:rsidSect="00D51D9B">
      <w:footerReference w:type="default" r:id="rId13"/>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3C3" w:rsidP="00CF270E" w:rsidRDefault="008813C3" w14:paraId="228CB371" w14:textId="77777777">
      <w:pPr>
        <w:spacing w:after="0" w:line="240" w:lineRule="auto"/>
      </w:pPr>
      <w:r>
        <w:separator/>
      </w:r>
    </w:p>
  </w:endnote>
  <w:endnote w:type="continuationSeparator" w:id="0">
    <w:p w:rsidR="008813C3" w:rsidP="00CF270E" w:rsidRDefault="008813C3" w14:paraId="6D58FA9F" w14:textId="77777777">
      <w:pPr>
        <w:spacing w:after="0" w:line="240" w:lineRule="auto"/>
      </w:pPr>
      <w:r>
        <w:continuationSeparator/>
      </w:r>
    </w:p>
  </w:endnote>
  <w:endnote w:type="continuationNotice" w:id="1">
    <w:p w:rsidR="008813C3" w:rsidRDefault="008813C3" w14:paraId="7BE079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56531"/>
      <w:docPartObj>
        <w:docPartGallery w:val="Page Numbers (Bottom of Page)"/>
        <w:docPartUnique/>
      </w:docPartObj>
    </w:sdtPr>
    <w:sdtEndPr>
      <w:rPr>
        <w:noProof/>
      </w:rPr>
    </w:sdtEndPr>
    <w:sdtContent>
      <w:p w:rsidR="00830712" w:rsidRDefault="00830712" w14:paraId="5BCED58D" w14:textId="39E74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F270E" w:rsidRDefault="00830712" w14:paraId="783EE2E0" w14:textId="580C9988">
    <w:pPr>
      <w:pStyle w:val="Footer"/>
    </w:pPr>
    <w:r>
      <w:t xml:space="preserve">STIP </w:t>
    </w:r>
    <w:r w:rsidRPr="00830712">
      <w:t>E-8461</w:t>
    </w:r>
    <w:r>
      <w:tab/>
    </w:r>
    <w:r>
      <w:t>Concurren</w:t>
    </w:r>
    <w:r w:rsidR="00C748B9">
      <w:t>ce</w:t>
    </w:r>
    <w:r>
      <w:t xml:space="preserve"> Point No.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3C3" w:rsidP="00CF270E" w:rsidRDefault="008813C3" w14:paraId="5574C370" w14:textId="77777777">
      <w:pPr>
        <w:spacing w:after="0" w:line="240" w:lineRule="auto"/>
      </w:pPr>
      <w:r>
        <w:separator/>
      </w:r>
    </w:p>
  </w:footnote>
  <w:footnote w:type="continuationSeparator" w:id="0">
    <w:p w:rsidR="008813C3" w:rsidP="00CF270E" w:rsidRDefault="008813C3" w14:paraId="26978A91" w14:textId="77777777">
      <w:pPr>
        <w:spacing w:after="0" w:line="240" w:lineRule="auto"/>
      </w:pPr>
      <w:r>
        <w:continuationSeparator/>
      </w:r>
    </w:p>
  </w:footnote>
  <w:footnote w:type="continuationNotice" w:id="1">
    <w:p w:rsidR="008813C3" w:rsidRDefault="008813C3" w14:paraId="3B27076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017"/>
    <w:multiLevelType w:val="hybridMultilevel"/>
    <w:tmpl w:val="D1BA8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1647499"/>
    <w:multiLevelType w:val="hybridMultilevel"/>
    <w:tmpl w:val="DA74424A"/>
    <w:lvl w:ilvl="0" w:tplc="04090001">
      <w:start w:val="1"/>
      <w:numFmt w:val="bullet"/>
      <w:lvlText w:val=""/>
      <w:lvlJc w:val="left"/>
      <w:pPr>
        <w:ind w:left="720" w:hanging="360"/>
      </w:pPr>
      <w:rPr>
        <w:rFonts w:hint="default" w:ascii="Symbol" w:hAnsi="Symbol"/>
      </w:rPr>
    </w:lvl>
    <w:lvl w:ilvl="1" w:tplc="6CE648E4">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1AF17DC"/>
    <w:multiLevelType w:val="hybridMultilevel"/>
    <w:tmpl w:val="13D4EA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8E18CC"/>
    <w:multiLevelType w:val="hybridMultilevel"/>
    <w:tmpl w:val="0090F0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3C96661"/>
    <w:multiLevelType w:val="multilevel"/>
    <w:tmpl w:val="5DD2C7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0636357"/>
    <w:multiLevelType w:val="hybridMultilevel"/>
    <w:tmpl w:val="959C09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D254BF7"/>
    <w:multiLevelType w:val="multilevel"/>
    <w:tmpl w:val="F7C03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04690950">
    <w:abstractNumId w:val="4"/>
  </w:num>
  <w:num w:numId="2" w16cid:durableId="2125998552">
    <w:abstractNumId w:val="1"/>
  </w:num>
  <w:num w:numId="3" w16cid:durableId="419133448">
    <w:abstractNumId w:val="2"/>
  </w:num>
  <w:num w:numId="4" w16cid:durableId="130902313">
    <w:abstractNumId w:val="0"/>
  </w:num>
  <w:num w:numId="5" w16cid:durableId="566497575">
    <w:abstractNumId w:val="3"/>
  </w:num>
  <w:num w:numId="6" w16cid:durableId="1359160710">
    <w:abstractNumId w:val="5"/>
  </w:num>
  <w:num w:numId="7" w16cid:durableId="132324357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6C"/>
    <w:rsid w:val="000030CC"/>
    <w:rsid w:val="00006160"/>
    <w:rsid w:val="00007648"/>
    <w:rsid w:val="000124CF"/>
    <w:rsid w:val="0001504C"/>
    <w:rsid w:val="0002441C"/>
    <w:rsid w:val="0003066E"/>
    <w:rsid w:val="0004019A"/>
    <w:rsid w:val="00045775"/>
    <w:rsid w:val="00055285"/>
    <w:rsid w:val="00061F91"/>
    <w:rsid w:val="00077797"/>
    <w:rsid w:val="0008552C"/>
    <w:rsid w:val="000A1E6A"/>
    <w:rsid w:val="000D3987"/>
    <w:rsid w:val="000D5C4B"/>
    <w:rsid w:val="000D7A9A"/>
    <w:rsid w:val="000E49C0"/>
    <w:rsid w:val="000F63EB"/>
    <w:rsid w:val="001061C5"/>
    <w:rsid w:val="00112C16"/>
    <w:rsid w:val="00113F4D"/>
    <w:rsid w:val="00124317"/>
    <w:rsid w:val="00162A0B"/>
    <w:rsid w:val="00165718"/>
    <w:rsid w:val="00166DFD"/>
    <w:rsid w:val="0017464B"/>
    <w:rsid w:val="001842C8"/>
    <w:rsid w:val="0018736E"/>
    <w:rsid w:val="001913E1"/>
    <w:rsid w:val="001B1CC5"/>
    <w:rsid w:val="001C198F"/>
    <w:rsid w:val="001C2443"/>
    <w:rsid w:val="001D7D30"/>
    <w:rsid w:val="002031E7"/>
    <w:rsid w:val="002037A0"/>
    <w:rsid w:val="002058CE"/>
    <w:rsid w:val="00210313"/>
    <w:rsid w:val="00212679"/>
    <w:rsid w:val="00214577"/>
    <w:rsid w:val="00225E1D"/>
    <w:rsid w:val="00226A63"/>
    <w:rsid w:val="00233670"/>
    <w:rsid w:val="00234435"/>
    <w:rsid w:val="00247345"/>
    <w:rsid w:val="002511C5"/>
    <w:rsid w:val="0025450B"/>
    <w:rsid w:val="00261306"/>
    <w:rsid w:val="00264B0A"/>
    <w:rsid w:val="002652E6"/>
    <w:rsid w:val="0027229F"/>
    <w:rsid w:val="002744DC"/>
    <w:rsid w:val="002761E6"/>
    <w:rsid w:val="00286E56"/>
    <w:rsid w:val="00286FEE"/>
    <w:rsid w:val="0029132B"/>
    <w:rsid w:val="002944A2"/>
    <w:rsid w:val="002A34B8"/>
    <w:rsid w:val="002B0564"/>
    <w:rsid w:val="002B067A"/>
    <w:rsid w:val="002B1A5D"/>
    <w:rsid w:val="002C020A"/>
    <w:rsid w:val="002C0CD5"/>
    <w:rsid w:val="002D7A65"/>
    <w:rsid w:val="002E3197"/>
    <w:rsid w:val="002E507C"/>
    <w:rsid w:val="002E5E32"/>
    <w:rsid w:val="00307E3C"/>
    <w:rsid w:val="00316B59"/>
    <w:rsid w:val="003368F3"/>
    <w:rsid w:val="00352698"/>
    <w:rsid w:val="0035365B"/>
    <w:rsid w:val="003608B0"/>
    <w:rsid w:val="00360F7B"/>
    <w:rsid w:val="0036328F"/>
    <w:rsid w:val="003755F8"/>
    <w:rsid w:val="00383F73"/>
    <w:rsid w:val="003937D2"/>
    <w:rsid w:val="00393AD3"/>
    <w:rsid w:val="003A147E"/>
    <w:rsid w:val="003A2670"/>
    <w:rsid w:val="003A59CF"/>
    <w:rsid w:val="003A7713"/>
    <w:rsid w:val="003C672C"/>
    <w:rsid w:val="003C6C79"/>
    <w:rsid w:val="003D0917"/>
    <w:rsid w:val="003D0A6C"/>
    <w:rsid w:val="003D26CE"/>
    <w:rsid w:val="003E06A4"/>
    <w:rsid w:val="003E2CC5"/>
    <w:rsid w:val="003E6E65"/>
    <w:rsid w:val="003E719E"/>
    <w:rsid w:val="003E798B"/>
    <w:rsid w:val="003F31E7"/>
    <w:rsid w:val="0041481F"/>
    <w:rsid w:val="00414F3A"/>
    <w:rsid w:val="004227FE"/>
    <w:rsid w:val="00432A4A"/>
    <w:rsid w:val="00435053"/>
    <w:rsid w:val="0044473D"/>
    <w:rsid w:val="00445590"/>
    <w:rsid w:val="004506E5"/>
    <w:rsid w:val="00451C25"/>
    <w:rsid w:val="00472492"/>
    <w:rsid w:val="00483889"/>
    <w:rsid w:val="004A571C"/>
    <w:rsid w:val="004A6CCC"/>
    <w:rsid w:val="004A781E"/>
    <w:rsid w:val="004B0458"/>
    <w:rsid w:val="004B3873"/>
    <w:rsid w:val="004B445B"/>
    <w:rsid w:val="004C16AC"/>
    <w:rsid w:val="004F0E6C"/>
    <w:rsid w:val="004F31B6"/>
    <w:rsid w:val="004F5A0C"/>
    <w:rsid w:val="004F708C"/>
    <w:rsid w:val="00516DCC"/>
    <w:rsid w:val="00521876"/>
    <w:rsid w:val="00522D3B"/>
    <w:rsid w:val="005237B5"/>
    <w:rsid w:val="00532759"/>
    <w:rsid w:val="00533D46"/>
    <w:rsid w:val="0054283A"/>
    <w:rsid w:val="00543A56"/>
    <w:rsid w:val="00545ECB"/>
    <w:rsid w:val="00556E93"/>
    <w:rsid w:val="00564C7F"/>
    <w:rsid w:val="00574B24"/>
    <w:rsid w:val="00587FE4"/>
    <w:rsid w:val="0059425A"/>
    <w:rsid w:val="005964D9"/>
    <w:rsid w:val="005A28DC"/>
    <w:rsid w:val="005B3FC5"/>
    <w:rsid w:val="005C0213"/>
    <w:rsid w:val="005C0EFB"/>
    <w:rsid w:val="005C1651"/>
    <w:rsid w:val="005D3A8C"/>
    <w:rsid w:val="005E037D"/>
    <w:rsid w:val="005E0BBC"/>
    <w:rsid w:val="005E6A00"/>
    <w:rsid w:val="005F1EE9"/>
    <w:rsid w:val="005F2067"/>
    <w:rsid w:val="00607E44"/>
    <w:rsid w:val="00615581"/>
    <w:rsid w:val="00621A67"/>
    <w:rsid w:val="00626502"/>
    <w:rsid w:val="0063167E"/>
    <w:rsid w:val="00631965"/>
    <w:rsid w:val="00632768"/>
    <w:rsid w:val="00632F43"/>
    <w:rsid w:val="00645503"/>
    <w:rsid w:val="00666135"/>
    <w:rsid w:val="00671C7C"/>
    <w:rsid w:val="006773BD"/>
    <w:rsid w:val="0068430F"/>
    <w:rsid w:val="00684905"/>
    <w:rsid w:val="00684986"/>
    <w:rsid w:val="00686D68"/>
    <w:rsid w:val="00694400"/>
    <w:rsid w:val="006956A4"/>
    <w:rsid w:val="00696956"/>
    <w:rsid w:val="0069711C"/>
    <w:rsid w:val="006B5B63"/>
    <w:rsid w:val="006B638C"/>
    <w:rsid w:val="006D10AA"/>
    <w:rsid w:val="006D2E93"/>
    <w:rsid w:val="006D5F8B"/>
    <w:rsid w:val="006D7C2E"/>
    <w:rsid w:val="006E3E2C"/>
    <w:rsid w:val="006F154B"/>
    <w:rsid w:val="006F5993"/>
    <w:rsid w:val="006F780E"/>
    <w:rsid w:val="00700DE8"/>
    <w:rsid w:val="00700F9F"/>
    <w:rsid w:val="007021CB"/>
    <w:rsid w:val="007044B7"/>
    <w:rsid w:val="00705D86"/>
    <w:rsid w:val="0070760C"/>
    <w:rsid w:val="00721770"/>
    <w:rsid w:val="0073368E"/>
    <w:rsid w:val="00733A2E"/>
    <w:rsid w:val="00745436"/>
    <w:rsid w:val="00745BFA"/>
    <w:rsid w:val="0075484B"/>
    <w:rsid w:val="0076629B"/>
    <w:rsid w:val="007800E7"/>
    <w:rsid w:val="0078292C"/>
    <w:rsid w:val="00796D36"/>
    <w:rsid w:val="007A0C80"/>
    <w:rsid w:val="007A6C02"/>
    <w:rsid w:val="007B3939"/>
    <w:rsid w:val="007B6C05"/>
    <w:rsid w:val="007C1616"/>
    <w:rsid w:val="007C64D8"/>
    <w:rsid w:val="007D6931"/>
    <w:rsid w:val="007E0E94"/>
    <w:rsid w:val="007E3E38"/>
    <w:rsid w:val="007E422B"/>
    <w:rsid w:val="007E44C6"/>
    <w:rsid w:val="007E6316"/>
    <w:rsid w:val="007E7E28"/>
    <w:rsid w:val="007F15CE"/>
    <w:rsid w:val="007F463C"/>
    <w:rsid w:val="007F5A22"/>
    <w:rsid w:val="008064B1"/>
    <w:rsid w:val="00813B5C"/>
    <w:rsid w:val="00821E2D"/>
    <w:rsid w:val="00830712"/>
    <w:rsid w:val="00852C4D"/>
    <w:rsid w:val="00867DC4"/>
    <w:rsid w:val="00880B72"/>
    <w:rsid w:val="008813C3"/>
    <w:rsid w:val="00896E39"/>
    <w:rsid w:val="008B296C"/>
    <w:rsid w:val="008B374D"/>
    <w:rsid w:val="008C2B6E"/>
    <w:rsid w:val="008C32D4"/>
    <w:rsid w:val="008C56CC"/>
    <w:rsid w:val="008C705B"/>
    <w:rsid w:val="008D052C"/>
    <w:rsid w:val="008E0094"/>
    <w:rsid w:val="008E16F6"/>
    <w:rsid w:val="008E2FB8"/>
    <w:rsid w:val="008E76FC"/>
    <w:rsid w:val="008F2F08"/>
    <w:rsid w:val="008F3D07"/>
    <w:rsid w:val="008F592E"/>
    <w:rsid w:val="008F748F"/>
    <w:rsid w:val="0090281C"/>
    <w:rsid w:val="0090363D"/>
    <w:rsid w:val="00911064"/>
    <w:rsid w:val="009119C6"/>
    <w:rsid w:val="009120C0"/>
    <w:rsid w:val="00917E32"/>
    <w:rsid w:val="00922204"/>
    <w:rsid w:val="009361E9"/>
    <w:rsid w:val="009414E8"/>
    <w:rsid w:val="00942CD9"/>
    <w:rsid w:val="00942D59"/>
    <w:rsid w:val="0095381F"/>
    <w:rsid w:val="009636A0"/>
    <w:rsid w:val="0096430D"/>
    <w:rsid w:val="00966E61"/>
    <w:rsid w:val="00973452"/>
    <w:rsid w:val="0097525F"/>
    <w:rsid w:val="00983A62"/>
    <w:rsid w:val="0098603B"/>
    <w:rsid w:val="00993A4A"/>
    <w:rsid w:val="00994688"/>
    <w:rsid w:val="00997BC4"/>
    <w:rsid w:val="00997DAA"/>
    <w:rsid w:val="009A1549"/>
    <w:rsid w:val="009B29C7"/>
    <w:rsid w:val="009B313E"/>
    <w:rsid w:val="009B62B6"/>
    <w:rsid w:val="009B6F8E"/>
    <w:rsid w:val="009C0284"/>
    <w:rsid w:val="009D234C"/>
    <w:rsid w:val="009E086E"/>
    <w:rsid w:val="009F2890"/>
    <w:rsid w:val="009F559F"/>
    <w:rsid w:val="009F7203"/>
    <w:rsid w:val="00A005F0"/>
    <w:rsid w:val="00A030EB"/>
    <w:rsid w:val="00A07409"/>
    <w:rsid w:val="00A16073"/>
    <w:rsid w:val="00A16742"/>
    <w:rsid w:val="00A22483"/>
    <w:rsid w:val="00A24E95"/>
    <w:rsid w:val="00A50F62"/>
    <w:rsid w:val="00A54991"/>
    <w:rsid w:val="00A64136"/>
    <w:rsid w:val="00A70C51"/>
    <w:rsid w:val="00A72A65"/>
    <w:rsid w:val="00A801A4"/>
    <w:rsid w:val="00A85D79"/>
    <w:rsid w:val="00A85F38"/>
    <w:rsid w:val="00A91E3B"/>
    <w:rsid w:val="00A936B0"/>
    <w:rsid w:val="00AA475F"/>
    <w:rsid w:val="00AA5E9E"/>
    <w:rsid w:val="00AB3365"/>
    <w:rsid w:val="00AB3787"/>
    <w:rsid w:val="00AB4989"/>
    <w:rsid w:val="00AB4FC3"/>
    <w:rsid w:val="00AB6CD2"/>
    <w:rsid w:val="00AB7B4A"/>
    <w:rsid w:val="00AD2BAC"/>
    <w:rsid w:val="00AE393F"/>
    <w:rsid w:val="00AE5689"/>
    <w:rsid w:val="00AF1C3E"/>
    <w:rsid w:val="00AF292B"/>
    <w:rsid w:val="00AF71E5"/>
    <w:rsid w:val="00B0123B"/>
    <w:rsid w:val="00B02811"/>
    <w:rsid w:val="00B032C2"/>
    <w:rsid w:val="00B05743"/>
    <w:rsid w:val="00B135E4"/>
    <w:rsid w:val="00B145C0"/>
    <w:rsid w:val="00B146E3"/>
    <w:rsid w:val="00B23556"/>
    <w:rsid w:val="00B2358D"/>
    <w:rsid w:val="00B25306"/>
    <w:rsid w:val="00B36F85"/>
    <w:rsid w:val="00B40DF1"/>
    <w:rsid w:val="00B415E5"/>
    <w:rsid w:val="00B47C5B"/>
    <w:rsid w:val="00B519DD"/>
    <w:rsid w:val="00B54C4D"/>
    <w:rsid w:val="00B65794"/>
    <w:rsid w:val="00B70DC8"/>
    <w:rsid w:val="00B84584"/>
    <w:rsid w:val="00B9086D"/>
    <w:rsid w:val="00B914F4"/>
    <w:rsid w:val="00B93EA2"/>
    <w:rsid w:val="00B95639"/>
    <w:rsid w:val="00BA2A49"/>
    <w:rsid w:val="00BA2E4B"/>
    <w:rsid w:val="00BA7CD5"/>
    <w:rsid w:val="00BB33A0"/>
    <w:rsid w:val="00BB5335"/>
    <w:rsid w:val="00BB68DC"/>
    <w:rsid w:val="00BC0521"/>
    <w:rsid w:val="00BC4738"/>
    <w:rsid w:val="00BC69AA"/>
    <w:rsid w:val="00BD0578"/>
    <w:rsid w:val="00BF7764"/>
    <w:rsid w:val="00C077B5"/>
    <w:rsid w:val="00C10F7D"/>
    <w:rsid w:val="00C1137A"/>
    <w:rsid w:val="00C119AF"/>
    <w:rsid w:val="00C13A14"/>
    <w:rsid w:val="00C22D99"/>
    <w:rsid w:val="00C2486C"/>
    <w:rsid w:val="00C341C5"/>
    <w:rsid w:val="00C347DB"/>
    <w:rsid w:val="00C356CA"/>
    <w:rsid w:val="00C36EDB"/>
    <w:rsid w:val="00C42231"/>
    <w:rsid w:val="00C44F76"/>
    <w:rsid w:val="00C51DA5"/>
    <w:rsid w:val="00C531D0"/>
    <w:rsid w:val="00C56235"/>
    <w:rsid w:val="00C5625D"/>
    <w:rsid w:val="00C56549"/>
    <w:rsid w:val="00C64CCB"/>
    <w:rsid w:val="00C661A8"/>
    <w:rsid w:val="00C748B9"/>
    <w:rsid w:val="00C80708"/>
    <w:rsid w:val="00C87027"/>
    <w:rsid w:val="00C96624"/>
    <w:rsid w:val="00CA2AA6"/>
    <w:rsid w:val="00CA2DB2"/>
    <w:rsid w:val="00CB18B5"/>
    <w:rsid w:val="00CC23E8"/>
    <w:rsid w:val="00CD5933"/>
    <w:rsid w:val="00CD7057"/>
    <w:rsid w:val="00CE408E"/>
    <w:rsid w:val="00CE6CA0"/>
    <w:rsid w:val="00CE6F62"/>
    <w:rsid w:val="00CE77BC"/>
    <w:rsid w:val="00CF270E"/>
    <w:rsid w:val="00D00503"/>
    <w:rsid w:val="00D123E8"/>
    <w:rsid w:val="00D30735"/>
    <w:rsid w:val="00D30A57"/>
    <w:rsid w:val="00D35473"/>
    <w:rsid w:val="00D35FAB"/>
    <w:rsid w:val="00D40EB5"/>
    <w:rsid w:val="00D42402"/>
    <w:rsid w:val="00D42DF0"/>
    <w:rsid w:val="00D4698B"/>
    <w:rsid w:val="00D46E99"/>
    <w:rsid w:val="00D4791E"/>
    <w:rsid w:val="00D51D9B"/>
    <w:rsid w:val="00D67A2A"/>
    <w:rsid w:val="00D7572F"/>
    <w:rsid w:val="00D81782"/>
    <w:rsid w:val="00D82D10"/>
    <w:rsid w:val="00D8419C"/>
    <w:rsid w:val="00D9120C"/>
    <w:rsid w:val="00D9776C"/>
    <w:rsid w:val="00DB5F94"/>
    <w:rsid w:val="00DB6B3A"/>
    <w:rsid w:val="00DB6D99"/>
    <w:rsid w:val="00DC0244"/>
    <w:rsid w:val="00DC4504"/>
    <w:rsid w:val="00DC77ED"/>
    <w:rsid w:val="00DD2DB7"/>
    <w:rsid w:val="00DD4021"/>
    <w:rsid w:val="00DE4522"/>
    <w:rsid w:val="00DE7D57"/>
    <w:rsid w:val="00DF3DF7"/>
    <w:rsid w:val="00DF7AB8"/>
    <w:rsid w:val="00E02240"/>
    <w:rsid w:val="00E12511"/>
    <w:rsid w:val="00E20D09"/>
    <w:rsid w:val="00E21CBA"/>
    <w:rsid w:val="00E22D3A"/>
    <w:rsid w:val="00E2322C"/>
    <w:rsid w:val="00E31F06"/>
    <w:rsid w:val="00E41811"/>
    <w:rsid w:val="00E43B5B"/>
    <w:rsid w:val="00E455E7"/>
    <w:rsid w:val="00E611C8"/>
    <w:rsid w:val="00E62621"/>
    <w:rsid w:val="00E85431"/>
    <w:rsid w:val="00E93087"/>
    <w:rsid w:val="00E9743A"/>
    <w:rsid w:val="00EA074E"/>
    <w:rsid w:val="00EB38DC"/>
    <w:rsid w:val="00EB662E"/>
    <w:rsid w:val="00EC10BC"/>
    <w:rsid w:val="00EC32CD"/>
    <w:rsid w:val="00EE1089"/>
    <w:rsid w:val="00EE40D4"/>
    <w:rsid w:val="00EF0ED2"/>
    <w:rsid w:val="00EF22BF"/>
    <w:rsid w:val="00EF704C"/>
    <w:rsid w:val="00F00A85"/>
    <w:rsid w:val="00F071C6"/>
    <w:rsid w:val="00F11509"/>
    <w:rsid w:val="00F41AD5"/>
    <w:rsid w:val="00F45320"/>
    <w:rsid w:val="00F60BDF"/>
    <w:rsid w:val="00F67A9A"/>
    <w:rsid w:val="00F778D9"/>
    <w:rsid w:val="00F77FC8"/>
    <w:rsid w:val="00F952AE"/>
    <w:rsid w:val="00FB65C3"/>
    <w:rsid w:val="00FC32ED"/>
    <w:rsid w:val="00FD168E"/>
    <w:rsid w:val="00FD72EB"/>
    <w:rsid w:val="00FE183A"/>
    <w:rsid w:val="00FF0983"/>
    <w:rsid w:val="00FF15AD"/>
    <w:rsid w:val="00FF4DAD"/>
    <w:rsid w:val="00FF4FC5"/>
    <w:rsid w:val="00FF75EA"/>
    <w:rsid w:val="0135C617"/>
    <w:rsid w:val="013642EE"/>
    <w:rsid w:val="019D6D60"/>
    <w:rsid w:val="01BC0F9D"/>
    <w:rsid w:val="039FD5E2"/>
    <w:rsid w:val="04607435"/>
    <w:rsid w:val="04DBF4A4"/>
    <w:rsid w:val="067F4208"/>
    <w:rsid w:val="0691E83D"/>
    <w:rsid w:val="08D823EC"/>
    <w:rsid w:val="0A387E7B"/>
    <w:rsid w:val="0C3FE3A9"/>
    <w:rsid w:val="0C6366BE"/>
    <w:rsid w:val="0D0ADCB4"/>
    <w:rsid w:val="0E5BFE1F"/>
    <w:rsid w:val="0FB4F2BA"/>
    <w:rsid w:val="10218900"/>
    <w:rsid w:val="1161B0FE"/>
    <w:rsid w:val="11DECBCD"/>
    <w:rsid w:val="1373609D"/>
    <w:rsid w:val="13C56F16"/>
    <w:rsid w:val="142C3797"/>
    <w:rsid w:val="146F101B"/>
    <w:rsid w:val="1498B39E"/>
    <w:rsid w:val="14B4070A"/>
    <w:rsid w:val="15A6FFB4"/>
    <w:rsid w:val="15F90E2D"/>
    <w:rsid w:val="16728A82"/>
    <w:rsid w:val="1899120F"/>
    <w:rsid w:val="19F0B5CA"/>
    <w:rsid w:val="1A3381AA"/>
    <w:rsid w:val="1B09EE5B"/>
    <w:rsid w:val="1C3BE02A"/>
    <w:rsid w:val="1CEB7EF9"/>
    <w:rsid w:val="1D5AFF9D"/>
    <w:rsid w:val="1E4BD988"/>
    <w:rsid w:val="1F160077"/>
    <w:rsid w:val="1F1F1E10"/>
    <w:rsid w:val="1F25DF9B"/>
    <w:rsid w:val="1F83C921"/>
    <w:rsid w:val="1FC8C010"/>
    <w:rsid w:val="1FD4DA80"/>
    <w:rsid w:val="200E57F3"/>
    <w:rsid w:val="20944ADE"/>
    <w:rsid w:val="20D215CD"/>
    <w:rsid w:val="222602AA"/>
    <w:rsid w:val="22B8D162"/>
    <w:rsid w:val="237C5AB8"/>
    <w:rsid w:val="238B1D45"/>
    <w:rsid w:val="23DFAD21"/>
    <w:rsid w:val="24AA6A81"/>
    <w:rsid w:val="25ACE4C6"/>
    <w:rsid w:val="25DC76FB"/>
    <w:rsid w:val="26682D00"/>
    <w:rsid w:val="268F3AE2"/>
    <w:rsid w:val="26F1EBE9"/>
    <w:rsid w:val="2786BBAA"/>
    <w:rsid w:val="27B28A3C"/>
    <w:rsid w:val="280037FF"/>
    <w:rsid w:val="28E51F8D"/>
    <w:rsid w:val="292B27A6"/>
    <w:rsid w:val="29D1580F"/>
    <w:rsid w:val="2A43A471"/>
    <w:rsid w:val="2C52A4E9"/>
    <w:rsid w:val="2CBC8833"/>
    <w:rsid w:val="2CC36A6A"/>
    <w:rsid w:val="2D9C8E78"/>
    <w:rsid w:val="2DE45CB5"/>
    <w:rsid w:val="2E4907C6"/>
    <w:rsid w:val="2F1C4C4E"/>
    <w:rsid w:val="2F44B744"/>
    <w:rsid w:val="30032A88"/>
    <w:rsid w:val="31D44A98"/>
    <w:rsid w:val="3236C99F"/>
    <w:rsid w:val="32A78F20"/>
    <w:rsid w:val="32F53CE3"/>
    <w:rsid w:val="3317F68C"/>
    <w:rsid w:val="34D0726F"/>
    <w:rsid w:val="358D870B"/>
    <w:rsid w:val="35FA3836"/>
    <w:rsid w:val="36C5E4C0"/>
    <w:rsid w:val="380D4D3E"/>
    <w:rsid w:val="38F915BB"/>
    <w:rsid w:val="39B788FF"/>
    <w:rsid w:val="39EFB2BD"/>
    <w:rsid w:val="39FA52C1"/>
    <w:rsid w:val="3A099778"/>
    <w:rsid w:val="3AB3387D"/>
    <w:rsid w:val="3AC5394C"/>
    <w:rsid w:val="3D42CBD1"/>
    <w:rsid w:val="3E09F5E9"/>
    <w:rsid w:val="4034DE2C"/>
    <w:rsid w:val="444C200D"/>
    <w:rsid w:val="44E8A0CE"/>
    <w:rsid w:val="45936C1D"/>
    <w:rsid w:val="46D87340"/>
    <w:rsid w:val="49CA859B"/>
    <w:rsid w:val="4A1A5E6D"/>
    <w:rsid w:val="4A4401F0"/>
    <w:rsid w:val="4BE9536E"/>
    <w:rsid w:val="4C10C14A"/>
    <w:rsid w:val="4C26B10D"/>
    <w:rsid w:val="4C487E20"/>
    <w:rsid w:val="4C9CA09D"/>
    <w:rsid w:val="4E3BA98D"/>
    <w:rsid w:val="500A5416"/>
    <w:rsid w:val="512DBBE8"/>
    <w:rsid w:val="519B1DCD"/>
    <w:rsid w:val="51FDD785"/>
    <w:rsid w:val="5296CD4B"/>
    <w:rsid w:val="52C070CE"/>
    <w:rsid w:val="5355408F"/>
    <w:rsid w:val="5413B3D3"/>
    <w:rsid w:val="546D7C06"/>
    <w:rsid w:val="5588DFA6"/>
    <w:rsid w:val="564752EA"/>
    <w:rsid w:val="57257A50"/>
    <w:rsid w:val="57740D38"/>
    <w:rsid w:val="581872FA"/>
    <w:rsid w:val="5929B0F6"/>
    <w:rsid w:val="5A3B2E3A"/>
    <w:rsid w:val="5A99BFD4"/>
    <w:rsid w:val="5DA2CF7D"/>
    <w:rsid w:val="5E69F995"/>
    <w:rsid w:val="615C0BF0"/>
    <w:rsid w:val="61710141"/>
    <w:rsid w:val="61B5D423"/>
    <w:rsid w:val="61FE1F9F"/>
    <w:rsid w:val="6322BCAF"/>
    <w:rsid w:val="6386F433"/>
    <w:rsid w:val="63DA5A10"/>
    <w:rsid w:val="644E1E4B"/>
    <w:rsid w:val="6540CD78"/>
    <w:rsid w:val="664BD518"/>
    <w:rsid w:val="673876EC"/>
    <w:rsid w:val="6878203F"/>
    <w:rsid w:val="68CA2EB8"/>
    <w:rsid w:val="691150B6"/>
    <w:rsid w:val="6964B2B4"/>
    <w:rsid w:val="6A2A8947"/>
    <w:rsid w:val="6A51F723"/>
    <w:rsid w:val="6A53A10F"/>
    <w:rsid w:val="6AA23F34"/>
    <w:rsid w:val="6BD8AEF5"/>
    <w:rsid w:val="6C70C4F6"/>
    <w:rsid w:val="6CE7B7BA"/>
    <w:rsid w:val="6D512EF3"/>
    <w:rsid w:val="6D6C7474"/>
    <w:rsid w:val="6D860250"/>
    <w:rsid w:val="6D9B2B4C"/>
    <w:rsid w:val="6E2AE7B8"/>
    <w:rsid w:val="6F259B17"/>
    <w:rsid w:val="6F3B6975"/>
    <w:rsid w:val="6FBC9F84"/>
    <w:rsid w:val="702BDF59"/>
    <w:rsid w:val="7041C9F0"/>
    <w:rsid w:val="709A3D5D"/>
    <w:rsid w:val="711CFA13"/>
    <w:rsid w:val="7233FE9C"/>
    <w:rsid w:val="72BA4711"/>
    <w:rsid w:val="73916016"/>
    <w:rsid w:val="74ED33D4"/>
    <w:rsid w:val="753F424D"/>
    <w:rsid w:val="75990A80"/>
    <w:rsid w:val="75E8E352"/>
    <w:rsid w:val="761286D5"/>
    <w:rsid w:val="77011EC9"/>
    <w:rsid w:val="780488FC"/>
    <w:rsid w:val="788B1CDB"/>
    <w:rsid w:val="78DAF5AD"/>
    <w:rsid w:val="78F1F2FB"/>
    <w:rsid w:val="799CBCF2"/>
    <w:rsid w:val="7A0A2E72"/>
    <w:rsid w:val="7A3F26B0"/>
    <w:rsid w:val="7AA9EAAE"/>
    <w:rsid w:val="7ABA8157"/>
    <w:rsid w:val="7B5E9912"/>
    <w:rsid w:val="7B6A8901"/>
    <w:rsid w:val="7BCD0808"/>
    <w:rsid w:val="7BCD61BC"/>
    <w:rsid w:val="7C31B319"/>
    <w:rsid w:val="7C8B7B4C"/>
    <w:rsid w:val="7D769920"/>
    <w:rsid w:val="7D862EAB"/>
    <w:rsid w:val="7E5850E4"/>
    <w:rsid w:val="7E5B3FA6"/>
    <w:rsid w:val="7F3E2D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58C1C"/>
  <w15:chartTrackingRefBased/>
  <w15:docId w15:val="{2450DFAF-9710-4B35-B788-0DD59573C4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248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486C"/>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C2486C"/>
    <w:pPr>
      <w:outlineLvl w:val="9"/>
    </w:pPr>
  </w:style>
  <w:style w:type="paragraph" w:styleId="BalloonText">
    <w:name w:val="Balloon Text"/>
    <w:basedOn w:val="Normal"/>
    <w:link w:val="BalloonTextChar"/>
    <w:uiPriority w:val="99"/>
    <w:semiHidden/>
    <w:unhideWhenUsed/>
    <w:rsid w:val="00C248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486C"/>
    <w:rPr>
      <w:rFonts w:ascii="Segoe UI" w:hAnsi="Segoe UI" w:cs="Segoe UI"/>
      <w:sz w:val="18"/>
      <w:szCs w:val="18"/>
    </w:rPr>
  </w:style>
  <w:style w:type="paragraph" w:styleId="Header">
    <w:name w:val="header"/>
    <w:basedOn w:val="Normal"/>
    <w:link w:val="HeaderChar"/>
    <w:uiPriority w:val="99"/>
    <w:unhideWhenUsed/>
    <w:rsid w:val="00CF27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270E"/>
  </w:style>
  <w:style w:type="paragraph" w:styleId="Footer">
    <w:name w:val="footer"/>
    <w:basedOn w:val="Normal"/>
    <w:link w:val="FooterChar"/>
    <w:uiPriority w:val="99"/>
    <w:unhideWhenUsed/>
    <w:rsid w:val="00CF27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270E"/>
  </w:style>
  <w:style w:type="paragraph" w:styleId="ListParagraph">
    <w:name w:val="List Paragraph"/>
    <w:basedOn w:val="Normal"/>
    <w:uiPriority w:val="34"/>
    <w:qFormat/>
    <w:rsid w:val="00CF270E"/>
    <w:pPr>
      <w:ind w:left="720"/>
      <w:contextualSpacing/>
    </w:pPr>
  </w:style>
  <w:style w:type="character" w:styleId="CommentReference">
    <w:name w:val="annotation reference"/>
    <w:basedOn w:val="DefaultParagraphFont"/>
    <w:uiPriority w:val="99"/>
    <w:semiHidden/>
    <w:unhideWhenUsed/>
    <w:rsid w:val="00CF270E"/>
    <w:rPr>
      <w:sz w:val="16"/>
      <w:szCs w:val="16"/>
    </w:rPr>
  </w:style>
  <w:style w:type="paragraph" w:styleId="CommentText">
    <w:name w:val="annotation text"/>
    <w:basedOn w:val="Normal"/>
    <w:link w:val="CommentTextChar"/>
    <w:uiPriority w:val="99"/>
    <w:semiHidden/>
    <w:unhideWhenUsed/>
    <w:rsid w:val="00CF270E"/>
    <w:pPr>
      <w:spacing w:line="240" w:lineRule="auto"/>
    </w:pPr>
    <w:rPr>
      <w:sz w:val="20"/>
      <w:szCs w:val="20"/>
    </w:rPr>
  </w:style>
  <w:style w:type="character" w:styleId="CommentTextChar" w:customStyle="1">
    <w:name w:val="Comment Text Char"/>
    <w:basedOn w:val="DefaultParagraphFont"/>
    <w:link w:val="CommentText"/>
    <w:uiPriority w:val="99"/>
    <w:semiHidden/>
    <w:rsid w:val="00CF270E"/>
    <w:rPr>
      <w:sz w:val="20"/>
      <w:szCs w:val="20"/>
    </w:rPr>
  </w:style>
  <w:style w:type="paragraph" w:styleId="CommentSubject">
    <w:name w:val="annotation subject"/>
    <w:basedOn w:val="CommentText"/>
    <w:next w:val="CommentText"/>
    <w:link w:val="CommentSubjectChar"/>
    <w:uiPriority w:val="99"/>
    <w:semiHidden/>
    <w:unhideWhenUsed/>
    <w:rsid w:val="00CF270E"/>
    <w:rPr>
      <w:b/>
      <w:bCs/>
    </w:rPr>
  </w:style>
  <w:style w:type="character" w:styleId="CommentSubjectChar" w:customStyle="1">
    <w:name w:val="Comment Subject Char"/>
    <w:basedOn w:val="CommentTextChar"/>
    <w:link w:val="CommentSubject"/>
    <w:uiPriority w:val="99"/>
    <w:semiHidden/>
    <w:rsid w:val="00CF270E"/>
    <w:rPr>
      <w:b/>
      <w:bCs/>
      <w:sz w:val="20"/>
      <w:szCs w:val="20"/>
    </w:rPr>
  </w:style>
  <w:style w:type="table" w:styleId="TableGrid">
    <w:name w:val="Table Grid"/>
    <w:basedOn w:val="TableNormal"/>
    <w:uiPriority w:val="39"/>
    <w:rsid w:val="00A167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idden" w:customStyle="1">
    <w:name w:val="Hidden"/>
    <w:basedOn w:val="Normal"/>
    <w:link w:val="HiddenChar"/>
    <w:qFormat/>
    <w:rsid w:val="00F41AD5"/>
    <w:pPr>
      <w:spacing w:after="120"/>
    </w:pPr>
    <w:rPr>
      <w:rFonts w:asciiTheme="majorHAnsi" w:hAnsiTheme="majorHAnsi" w:cstheme="majorHAnsi"/>
      <w:b/>
      <w:vanish/>
      <w:color w:val="7030A0"/>
      <w:sz w:val="20"/>
      <w:szCs w:val="20"/>
    </w:rPr>
  </w:style>
  <w:style w:type="character" w:styleId="HiddenChar" w:customStyle="1">
    <w:name w:val="Hidden Char"/>
    <w:basedOn w:val="DefaultParagraphFont"/>
    <w:link w:val="Hidden"/>
    <w:rsid w:val="00F41AD5"/>
    <w:rPr>
      <w:rFonts w:asciiTheme="majorHAnsi" w:hAnsiTheme="majorHAnsi" w:cstheme="majorHAnsi"/>
      <w:b/>
      <w:vanish/>
      <w:color w:val="7030A0"/>
      <w:sz w:val="20"/>
      <w:szCs w:val="20"/>
    </w:rPr>
  </w:style>
  <w:style w:type="character" w:styleId="normaltextrun" w:customStyle="1">
    <w:name w:val="normaltextrun"/>
    <w:basedOn w:val="DefaultParagraphFont"/>
    <w:rsid w:val="003E719E"/>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paragraph" w:customStyle="1">
    <w:name w:val="paragraph"/>
    <w:basedOn w:val="Normal"/>
    <w:rsid w:val="00316B59"/>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316B59"/>
  </w:style>
  <w:style w:type="paragraph" w:styleId="Revision">
    <w:name w:val="Revision"/>
    <w:hidden/>
    <w:uiPriority w:val="99"/>
    <w:semiHidden/>
    <w:rsid w:val="003E06A4"/>
    <w:pPr>
      <w:spacing w:after="0" w:line="240" w:lineRule="auto"/>
    </w:pPr>
  </w:style>
  <w:style w:type="character" w:styleId="Hyperlink">
    <w:name w:val="Hyperlink"/>
    <w:basedOn w:val="DefaultParagraphFont"/>
    <w:uiPriority w:val="99"/>
    <w:unhideWhenUsed/>
    <w:rsid w:val="00BB68DC"/>
    <w:rPr>
      <w:color w:val="0563C1" w:themeColor="hyperlink"/>
      <w:u w:val="single"/>
    </w:rPr>
  </w:style>
  <w:style w:type="character" w:styleId="UnresolvedMention">
    <w:name w:val="Unresolved Mention"/>
    <w:basedOn w:val="DefaultParagraphFont"/>
    <w:uiPriority w:val="99"/>
    <w:semiHidden/>
    <w:unhideWhenUsed/>
    <w:rsid w:val="00BB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59717">
      <w:bodyDiv w:val="1"/>
      <w:marLeft w:val="0"/>
      <w:marRight w:val="0"/>
      <w:marTop w:val="0"/>
      <w:marBottom w:val="0"/>
      <w:divBdr>
        <w:top w:val="none" w:sz="0" w:space="0" w:color="auto"/>
        <w:left w:val="none" w:sz="0" w:space="0" w:color="auto"/>
        <w:bottom w:val="none" w:sz="0" w:space="0" w:color="auto"/>
        <w:right w:val="none" w:sz="0" w:space="0" w:color="auto"/>
      </w:divBdr>
      <w:divsChild>
        <w:div w:id="51779015">
          <w:marLeft w:val="0"/>
          <w:marRight w:val="0"/>
          <w:marTop w:val="0"/>
          <w:marBottom w:val="0"/>
          <w:divBdr>
            <w:top w:val="none" w:sz="0" w:space="0" w:color="auto"/>
            <w:left w:val="none" w:sz="0" w:space="0" w:color="auto"/>
            <w:bottom w:val="none" w:sz="0" w:space="0" w:color="auto"/>
            <w:right w:val="none" w:sz="0" w:space="0" w:color="auto"/>
          </w:divBdr>
        </w:div>
        <w:div w:id="2059157159">
          <w:marLeft w:val="0"/>
          <w:marRight w:val="0"/>
          <w:marTop w:val="0"/>
          <w:marBottom w:val="0"/>
          <w:divBdr>
            <w:top w:val="none" w:sz="0" w:space="0" w:color="auto"/>
            <w:left w:val="none" w:sz="0" w:space="0" w:color="auto"/>
            <w:bottom w:val="none" w:sz="0" w:space="0" w:color="auto"/>
            <w:right w:val="none" w:sz="0" w:space="0" w:color="auto"/>
          </w:divBdr>
        </w:div>
      </w:divsChild>
    </w:div>
    <w:div w:id="1372729124">
      <w:bodyDiv w:val="1"/>
      <w:marLeft w:val="0"/>
      <w:marRight w:val="0"/>
      <w:marTop w:val="0"/>
      <w:marBottom w:val="0"/>
      <w:divBdr>
        <w:top w:val="none" w:sz="0" w:space="0" w:color="auto"/>
        <w:left w:val="none" w:sz="0" w:space="0" w:color="auto"/>
        <w:bottom w:val="none" w:sz="0" w:space="0" w:color="auto"/>
        <w:right w:val="none" w:sz="0" w:space="0" w:color="auto"/>
      </w:divBdr>
      <w:divsChild>
        <w:div w:id="2032099232">
          <w:marLeft w:val="0"/>
          <w:marRight w:val="0"/>
          <w:marTop w:val="0"/>
          <w:marBottom w:val="0"/>
          <w:divBdr>
            <w:top w:val="none" w:sz="0" w:space="0" w:color="auto"/>
            <w:left w:val="none" w:sz="0" w:space="0" w:color="auto"/>
            <w:bottom w:val="none" w:sz="0" w:space="0" w:color="auto"/>
            <w:right w:val="none" w:sz="0" w:space="0" w:color="auto"/>
          </w:divBdr>
        </w:div>
        <w:div w:id="851606381">
          <w:marLeft w:val="0"/>
          <w:marRight w:val="0"/>
          <w:marTop w:val="0"/>
          <w:marBottom w:val="0"/>
          <w:divBdr>
            <w:top w:val="none" w:sz="0" w:space="0" w:color="auto"/>
            <w:left w:val="none" w:sz="0" w:space="0" w:color="auto"/>
            <w:bottom w:val="none" w:sz="0" w:space="0" w:color="auto"/>
            <w:right w:val="none" w:sz="0" w:space="0" w:color="auto"/>
          </w:divBdr>
        </w:div>
        <w:div w:id="916792601">
          <w:marLeft w:val="0"/>
          <w:marRight w:val="0"/>
          <w:marTop w:val="0"/>
          <w:marBottom w:val="0"/>
          <w:divBdr>
            <w:top w:val="none" w:sz="0" w:space="0" w:color="auto"/>
            <w:left w:val="none" w:sz="0" w:space="0" w:color="auto"/>
            <w:bottom w:val="none" w:sz="0" w:space="0" w:color="auto"/>
            <w:right w:val="none" w:sz="0" w:space="0" w:color="auto"/>
          </w:divBdr>
        </w:div>
      </w:divsChild>
    </w:div>
    <w:div w:id="2072001325">
      <w:bodyDiv w:val="1"/>
      <w:marLeft w:val="0"/>
      <w:marRight w:val="0"/>
      <w:marTop w:val="0"/>
      <w:marBottom w:val="0"/>
      <w:divBdr>
        <w:top w:val="none" w:sz="0" w:space="0" w:color="auto"/>
        <w:left w:val="none" w:sz="0" w:space="0" w:color="auto"/>
        <w:bottom w:val="none" w:sz="0" w:space="0" w:color="auto"/>
        <w:right w:val="none" w:sz="0" w:space="0" w:color="auto"/>
      </w:divBdr>
      <w:divsChild>
        <w:div w:id="1158807829">
          <w:marLeft w:val="0"/>
          <w:marRight w:val="0"/>
          <w:marTop w:val="0"/>
          <w:marBottom w:val="0"/>
          <w:divBdr>
            <w:top w:val="none" w:sz="0" w:space="0" w:color="auto"/>
            <w:left w:val="none" w:sz="0" w:space="0" w:color="auto"/>
            <w:bottom w:val="none" w:sz="0" w:space="0" w:color="auto"/>
            <w:right w:val="none" w:sz="0" w:space="0" w:color="auto"/>
          </w:divBdr>
        </w:div>
        <w:div w:id="1447968906">
          <w:marLeft w:val="0"/>
          <w:marRight w:val="0"/>
          <w:marTop w:val="0"/>
          <w:marBottom w:val="0"/>
          <w:divBdr>
            <w:top w:val="none" w:sz="0" w:space="0" w:color="auto"/>
            <w:left w:val="none" w:sz="0" w:space="0" w:color="auto"/>
            <w:bottom w:val="none" w:sz="0" w:space="0" w:color="auto"/>
            <w:right w:val="none" w:sz="0" w:space="0" w:color="auto"/>
          </w:divBdr>
        </w:div>
        <w:div w:id="157982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e6cc99230c994499" Type="http://schemas.openxmlformats.org/officeDocument/2006/relationships/glossaryDocument" Target="glossary/document.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614f4487a2c34348" Type="http://schemas.openxmlformats.org/officeDocument/2006/relationships/hyperlink" Target="https://connect.ncdot.gov/resources/Environmental/EPU/Merger/Documents/Merger-MOU.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09715c-8608-4de3-b233-b043dc7fd9a7}"/>
      </w:docPartPr>
      <w:docPartBody>
        <w:p w14:paraId="51FDD7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Props1.xml><?xml version="1.0" encoding="utf-8"?>
<ds:datastoreItem xmlns:ds="http://schemas.openxmlformats.org/officeDocument/2006/customXml" ds:itemID="{5498C582-E0D1-4A2B-BFD2-04CE1BF7D613}"/>
</file>

<file path=customXml/itemProps2.xml><?xml version="1.0" encoding="utf-8"?>
<ds:datastoreItem xmlns:ds="http://schemas.openxmlformats.org/officeDocument/2006/customXml" ds:itemID="{EE7A4994-54D1-41E0-9BA0-967BEAF5E67C}"/>
</file>

<file path=customXml/itemProps3.xml><?xml version="1.0" encoding="utf-8"?>
<ds:datastoreItem xmlns:ds="http://schemas.openxmlformats.org/officeDocument/2006/customXml" ds:itemID="{0895E243-483F-4C9F-AFE8-73CCC7BC4FAA}"/>
</file>

<file path=customXml/itemProps4.xml><?xml version="1.0" encoding="utf-8"?>
<ds:datastoreItem xmlns:ds="http://schemas.openxmlformats.org/officeDocument/2006/customXml" ds:itemID="{03BD53A7-0F90-4555-8929-EDD4BE5A06CB}"/>
</file>

<file path=customXml/itemProps5.xml><?xml version="1.0" encoding="utf-8"?>
<ds:datastoreItem xmlns:ds="http://schemas.openxmlformats.org/officeDocument/2006/customXml" ds:itemID="{349C6B48-EE42-4ABD-B659-A6758AD70C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Gilland</dc:creator>
  <cp:keywords/>
  <dc:description/>
  <cp:lastModifiedBy>Clara Meier</cp:lastModifiedBy>
  <cp:revision>286</cp:revision>
  <dcterms:created xsi:type="dcterms:W3CDTF">2019-10-01T12:15:00Z</dcterms:created>
  <dcterms:modified xsi:type="dcterms:W3CDTF">2023-05-02T20:14:31Z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0x010100C268A9AA7A868E48A0D5102875117ED3</vt:lpwstr>
  </property>
  <property fmtid="{D5CDD505-2E9C-101B-9397-08002B2CF9AE}" pid="3" name="MediaServiceImageTags">
    <vt:lpwstr/>
  </property>
  <property fmtid="{D5CDD505-2E9C-101B-9397-08002B2CF9AE}" pid="4" name="DocumentSetDescription">
    <vt:lpwstr/>
  </property>
  <property fmtid="{D5CDD505-2E9C-101B-9397-08002B2CF9AE}" pid="5" name="Order">
    <vt:r8>5400</vt:r8>
  </property>
</Properties>
</file>