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52E" w:rsidRPr="0060052E" w:rsidRDefault="0060052E" w:rsidP="001621AE">
      <w:pPr>
        <w:keepNext/>
        <w:keepLines/>
        <w:spacing w:before="0" w:after="0"/>
        <w:jc w:val="left"/>
        <w:rPr>
          <w:rFonts w:eastAsiaTheme="minorHAnsi"/>
          <w:b/>
          <w:sz w:val="24"/>
          <w:szCs w:val="22"/>
          <w:u w:val="single"/>
        </w:rPr>
      </w:pPr>
      <w:bookmarkStart w:id="0" w:name="_GoBack"/>
      <w:bookmarkEnd w:id="0"/>
      <w:r>
        <w:rPr>
          <w:rFonts w:eastAsiaTheme="minorHAnsi"/>
          <w:b/>
          <w:sz w:val="24"/>
          <w:szCs w:val="22"/>
          <w:u w:val="single"/>
        </w:rPr>
        <w:t>ASPHALT SURFACE TREATMENT</w:t>
      </w:r>
      <w:r w:rsidR="00E85E54">
        <w:rPr>
          <w:rFonts w:eastAsiaTheme="minorHAnsi"/>
          <w:b/>
          <w:sz w:val="24"/>
          <w:szCs w:val="22"/>
          <w:u w:val="single"/>
        </w:rPr>
        <w:t xml:space="preserve"> AGGREGATE TYPE AND APPLICATION RATES</w:t>
      </w:r>
      <w:r w:rsidRPr="0060052E">
        <w:rPr>
          <w:rFonts w:eastAsiaTheme="minorHAnsi"/>
          <w:b/>
          <w:sz w:val="24"/>
          <w:szCs w:val="22"/>
          <w:u w:val="single"/>
        </w:rPr>
        <w:t>:</w:t>
      </w:r>
    </w:p>
    <w:tbl>
      <w:tblPr>
        <w:tblW w:w="9558" w:type="dxa"/>
        <w:tblLayout w:type="fixed"/>
        <w:tblLook w:val="0000" w:firstRow="0" w:lastRow="0" w:firstColumn="0" w:lastColumn="0" w:noHBand="0" w:noVBand="0"/>
      </w:tblPr>
      <w:tblGrid>
        <w:gridCol w:w="2178"/>
        <w:gridCol w:w="6030"/>
        <w:gridCol w:w="1350"/>
      </w:tblGrid>
      <w:tr w:rsidR="0060052E" w:rsidRPr="0060052E" w:rsidTr="006D0EAB">
        <w:tc>
          <w:tcPr>
            <w:tcW w:w="2178" w:type="dxa"/>
          </w:tcPr>
          <w:p w:rsidR="0060052E" w:rsidRPr="0060052E" w:rsidRDefault="00CD677E" w:rsidP="00E85E54">
            <w:pPr>
              <w:keepNext/>
              <w:keepLines/>
              <w:spacing w:before="0" w:after="0"/>
              <w:jc w:val="left"/>
              <w:rPr>
                <w:rFonts w:eastAsiaTheme="minorHAnsi"/>
                <w:sz w:val="16"/>
                <w:szCs w:val="22"/>
              </w:rPr>
            </w:pPr>
            <w:r w:rsidRPr="00A928E3">
              <w:rPr>
                <w:rFonts w:eastAsiaTheme="minorHAnsi"/>
                <w:sz w:val="16"/>
                <w:szCs w:val="22"/>
              </w:rPr>
              <w:t xml:space="preserve">(02-13-15) </w:t>
            </w:r>
            <w:r w:rsidR="0060052E" w:rsidRPr="00A928E3">
              <w:rPr>
                <w:rFonts w:eastAsiaTheme="minorHAnsi"/>
                <w:sz w:val="16"/>
                <w:szCs w:val="22"/>
              </w:rPr>
              <w:t>(</w:t>
            </w:r>
            <w:r w:rsidRPr="00A928E3">
              <w:rPr>
                <w:rFonts w:eastAsiaTheme="minorHAnsi"/>
                <w:sz w:val="16"/>
                <w:szCs w:val="22"/>
              </w:rPr>
              <w:t xml:space="preserve">Rev </w:t>
            </w:r>
            <w:r w:rsidR="007B3882" w:rsidRPr="00A928E3">
              <w:rPr>
                <w:rFonts w:eastAsiaTheme="minorHAnsi"/>
                <w:sz w:val="16"/>
                <w:szCs w:val="22"/>
              </w:rPr>
              <w:t>0</w:t>
            </w:r>
            <w:r w:rsidR="00E85E54">
              <w:rPr>
                <w:rFonts w:eastAsiaTheme="minorHAnsi"/>
                <w:sz w:val="16"/>
                <w:szCs w:val="22"/>
              </w:rPr>
              <w:t>1</w:t>
            </w:r>
            <w:r w:rsidR="007B3882" w:rsidRPr="00A928E3">
              <w:rPr>
                <w:rFonts w:eastAsiaTheme="minorHAnsi"/>
                <w:sz w:val="16"/>
                <w:szCs w:val="22"/>
              </w:rPr>
              <w:t>-</w:t>
            </w:r>
            <w:r w:rsidR="00B7177F">
              <w:rPr>
                <w:rFonts w:eastAsiaTheme="minorHAnsi"/>
                <w:sz w:val="16"/>
                <w:szCs w:val="22"/>
              </w:rPr>
              <w:t>1</w:t>
            </w:r>
            <w:r w:rsidR="0060052E" w:rsidRPr="00A928E3">
              <w:rPr>
                <w:rFonts w:eastAsiaTheme="minorHAnsi"/>
                <w:sz w:val="16"/>
                <w:szCs w:val="22"/>
              </w:rPr>
              <w:t>-1</w:t>
            </w:r>
            <w:r w:rsidR="00E85E54">
              <w:rPr>
                <w:rFonts w:eastAsiaTheme="minorHAnsi"/>
                <w:sz w:val="16"/>
                <w:szCs w:val="22"/>
              </w:rPr>
              <w:t>8</w:t>
            </w:r>
            <w:r w:rsidR="0060052E" w:rsidRPr="00A928E3">
              <w:rPr>
                <w:rFonts w:eastAsiaTheme="minorHAnsi"/>
                <w:sz w:val="16"/>
                <w:szCs w:val="22"/>
              </w:rPr>
              <w:t>)</w:t>
            </w:r>
          </w:p>
        </w:tc>
        <w:tc>
          <w:tcPr>
            <w:tcW w:w="6030" w:type="dxa"/>
          </w:tcPr>
          <w:p w:rsidR="0060052E" w:rsidRPr="0060052E" w:rsidRDefault="0060052E" w:rsidP="001621AE">
            <w:pPr>
              <w:keepNext/>
              <w:keepLines/>
              <w:spacing w:before="0" w:after="0"/>
              <w:jc w:val="center"/>
              <w:rPr>
                <w:rFonts w:eastAsiaTheme="minorHAnsi"/>
                <w:sz w:val="16"/>
                <w:szCs w:val="22"/>
              </w:rPr>
            </w:pPr>
            <w:r>
              <w:rPr>
                <w:rFonts w:eastAsiaTheme="minorHAnsi"/>
                <w:sz w:val="16"/>
                <w:szCs w:val="22"/>
              </w:rPr>
              <w:t>660</w:t>
            </w:r>
          </w:p>
        </w:tc>
        <w:tc>
          <w:tcPr>
            <w:tcW w:w="1350" w:type="dxa"/>
          </w:tcPr>
          <w:p w:rsidR="0060052E" w:rsidRPr="0060052E" w:rsidRDefault="0060052E" w:rsidP="001621AE">
            <w:pPr>
              <w:keepNext/>
              <w:keepLines/>
              <w:spacing w:before="0" w:after="0"/>
              <w:jc w:val="right"/>
              <w:rPr>
                <w:rFonts w:eastAsiaTheme="minorHAnsi"/>
                <w:sz w:val="16"/>
                <w:szCs w:val="22"/>
              </w:rPr>
            </w:pPr>
            <w:r w:rsidRPr="0060052E">
              <w:rPr>
                <w:rFonts w:eastAsiaTheme="minorHAnsi"/>
                <w:sz w:val="16"/>
                <w:szCs w:val="22"/>
              </w:rPr>
              <w:t>SP</w:t>
            </w:r>
            <w:r>
              <w:rPr>
                <w:rFonts w:eastAsiaTheme="minorHAnsi"/>
                <w:sz w:val="16"/>
                <w:szCs w:val="22"/>
              </w:rPr>
              <w:t>06</w:t>
            </w:r>
            <w:r w:rsidRPr="0060052E">
              <w:rPr>
                <w:rFonts w:eastAsiaTheme="minorHAnsi"/>
                <w:sz w:val="16"/>
                <w:szCs w:val="22"/>
              </w:rPr>
              <w:t xml:space="preserve"> R</w:t>
            </w:r>
            <w:r>
              <w:rPr>
                <w:rFonts w:eastAsiaTheme="minorHAnsi"/>
                <w:sz w:val="16"/>
                <w:szCs w:val="22"/>
              </w:rPr>
              <w:t>054</w:t>
            </w:r>
          </w:p>
        </w:tc>
      </w:tr>
    </w:tbl>
    <w:p w:rsidR="0060052E" w:rsidRPr="0060052E" w:rsidRDefault="0060052E" w:rsidP="001621AE">
      <w:pPr>
        <w:keepNext/>
        <w:keepLines/>
        <w:spacing w:before="0" w:after="0"/>
        <w:jc w:val="left"/>
        <w:rPr>
          <w:rFonts w:eastAsiaTheme="minorHAnsi"/>
          <w:sz w:val="8"/>
          <w:szCs w:val="8"/>
        </w:rPr>
      </w:pPr>
    </w:p>
    <w:p w:rsidR="0060052E" w:rsidRPr="00F55721" w:rsidRDefault="0060052E" w:rsidP="001621AE">
      <w:pPr>
        <w:keepNext/>
        <w:keepLines/>
        <w:spacing w:before="0" w:after="0"/>
        <w:jc w:val="left"/>
        <w:rPr>
          <w:rFonts w:eastAsiaTheme="minorHAnsi"/>
          <w:sz w:val="8"/>
          <w:szCs w:val="8"/>
        </w:rPr>
      </w:pPr>
    </w:p>
    <w:p w:rsidR="001621AE" w:rsidRPr="00D11F6B" w:rsidRDefault="001621AE" w:rsidP="001621AE">
      <w:pPr>
        <w:spacing w:before="0" w:after="0"/>
        <w:rPr>
          <w:sz w:val="24"/>
        </w:rPr>
      </w:pPr>
    </w:p>
    <w:tbl>
      <w:tblPr>
        <w:tblStyle w:val="TableGrid"/>
        <w:tblW w:w="9288" w:type="dxa"/>
        <w:tblLayout w:type="fixed"/>
        <w:tblLook w:val="04A0" w:firstRow="1" w:lastRow="0" w:firstColumn="1" w:lastColumn="0" w:noHBand="0" w:noVBand="1"/>
      </w:tblPr>
      <w:tblGrid>
        <w:gridCol w:w="1188"/>
        <w:gridCol w:w="1170"/>
        <w:gridCol w:w="1260"/>
        <w:gridCol w:w="1800"/>
        <w:gridCol w:w="1890"/>
        <w:gridCol w:w="1980"/>
      </w:tblGrid>
      <w:tr w:rsidR="001F196C" w:rsidTr="000C3F46">
        <w:trPr>
          <w:trHeight w:val="584"/>
        </w:trPr>
        <w:tc>
          <w:tcPr>
            <w:tcW w:w="9288" w:type="dxa"/>
            <w:gridSpan w:val="6"/>
          </w:tcPr>
          <w:p w:rsidR="001F196C" w:rsidRPr="00A928E3" w:rsidRDefault="001F196C" w:rsidP="00DC44A0">
            <w:pPr>
              <w:jc w:val="center"/>
              <w:rPr>
                <w:b/>
                <w:sz w:val="24"/>
              </w:rPr>
            </w:pPr>
            <w:r>
              <w:rPr>
                <w:b/>
                <w:sz w:val="24"/>
              </w:rPr>
              <w:t xml:space="preserve">SEAL TYPES AND MATERIAL APPLICATION RATES </w:t>
            </w:r>
          </w:p>
        </w:tc>
      </w:tr>
      <w:tr w:rsidR="00DC44A0" w:rsidTr="00624E5C">
        <w:trPr>
          <w:trHeight w:val="1340"/>
        </w:trPr>
        <w:tc>
          <w:tcPr>
            <w:tcW w:w="1188" w:type="dxa"/>
            <w:vAlign w:val="center"/>
          </w:tcPr>
          <w:p w:rsidR="00DC44A0" w:rsidRPr="00A928E3" w:rsidRDefault="00DC44A0" w:rsidP="00624E5C">
            <w:pPr>
              <w:jc w:val="center"/>
              <w:rPr>
                <w:b/>
                <w:sz w:val="24"/>
              </w:rPr>
            </w:pPr>
            <w:r w:rsidRPr="00A928E3">
              <w:rPr>
                <w:b/>
                <w:sz w:val="24"/>
              </w:rPr>
              <w:t>MAP #</w:t>
            </w:r>
          </w:p>
        </w:tc>
        <w:tc>
          <w:tcPr>
            <w:tcW w:w="1170" w:type="dxa"/>
            <w:vAlign w:val="center"/>
          </w:tcPr>
          <w:p w:rsidR="00DC44A0" w:rsidRPr="00A928E3" w:rsidRDefault="00DC44A0" w:rsidP="00624E5C">
            <w:pPr>
              <w:jc w:val="center"/>
              <w:rPr>
                <w:b/>
                <w:sz w:val="24"/>
              </w:rPr>
            </w:pPr>
            <w:r w:rsidRPr="00A928E3">
              <w:rPr>
                <w:b/>
                <w:sz w:val="24"/>
              </w:rPr>
              <w:t>TYPE OF SEAL</w:t>
            </w:r>
          </w:p>
        </w:tc>
        <w:tc>
          <w:tcPr>
            <w:tcW w:w="1260" w:type="dxa"/>
            <w:vAlign w:val="center"/>
          </w:tcPr>
          <w:p w:rsidR="00DC44A0" w:rsidRPr="00A928E3" w:rsidRDefault="00DC44A0" w:rsidP="00624E5C">
            <w:pPr>
              <w:jc w:val="center"/>
              <w:rPr>
                <w:b/>
                <w:sz w:val="24"/>
              </w:rPr>
            </w:pPr>
            <w:r>
              <w:rPr>
                <w:b/>
                <w:sz w:val="24"/>
              </w:rPr>
              <w:t>LAYER</w:t>
            </w:r>
          </w:p>
        </w:tc>
        <w:tc>
          <w:tcPr>
            <w:tcW w:w="1800" w:type="dxa"/>
            <w:vAlign w:val="center"/>
          </w:tcPr>
          <w:p w:rsidR="00DC44A0" w:rsidRPr="00A928E3" w:rsidRDefault="00DC44A0" w:rsidP="00624E5C">
            <w:pPr>
              <w:jc w:val="center"/>
              <w:rPr>
                <w:b/>
                <w:sz w:val="24"/>
              </w:rPr>
            </w:pPr>
            <w:r w:rsidRPr="00A928E3">
              <w:rPr>
                <w:b/>
                <w:sz w:val="24"/>
              </w:rPr>
              <w:t>AGGREGATE TYPE</w:t>
            </w:r>
          </w:p>
        </w:tc>
        <w:tc>
          <w:tcPr>
            <w:tcW w:w="1890" w:type="dxa"/>
            <w:vAlign w:val="center"/>
          </w:tcPr>
          <w:p w:rsidR="00DC44A0" w:rsidRPr="008924B3" w:rsidRDefault="00DC44A0" w:rsidP="00624E5C">
            <w:pPr>
              <w:jc w:val="center"/>
              <w:rPr>
                <w:b/>
                <w:sz w:val="24"/>
              </w:rPr>
            </w:pPr>
            <w:r w:rsidRPr="008924B3">
              <w:rPr>
                <w:b/>
                <w:sz w:val="24"/>
              </w:rPr>
              <w:t>AGGREGATE TARGET RATE</w:t>
            </w:r>
            <w:r w:rsidR="005A6705" w:rsidRPr="008924B3">
              <w:rPr>
                <w:b/>
                <w:sz w:val="24"/>
              </w:rPr>
              <w:t>S</w:t>
            </w:r>
            <w:r w:rsidR="008924B3" w:rsidRPr="008924B3">
              <w:rPr>
                <w:b/>
                <w:sz w:val="24"/>
                <w:vertAlign w:val="superscript"/>
              </w:rPr>
              <w:t>A</w:t>
            </w:r>
          </w:p>
          <w:p w:rsidR="00DC44A0" w:rsidRPr="008924B3" w:rsidRDefault="00DC44A0" w:rsidP="00624E5C">
            <w:pPr>
              <w:jc w:val="center"/>
              <w:rPr>
                <w:b/>
                <w:sz w:val="24"/>
              </w:rPr>
            </w:pPr>
            <w:r w:rsidRPr="008924B3">
              <w:rPr>
                <w:b/>
                <w:sz w:val="24"/>
              </w:rPr>
              <w:t>(LBS/SY)</w:t>
            </w:r>
          </w:p>
        </w:tc>
        <w:tc>
          <w:tcPr>
            <w:tcW w:w="1980" w:type="dxa"/>
            <w:vAlign w:val="center"/>
          </w:tcPr>
          <w:p w:rsidR="00DC44A0" w:rsidRPr="008924B3" w:rsidRDefault="00DC44A0" w:rsidP="00624E5C">
            <w:pPr>
              <w:jc w:val="center"/>
              <w:rPr>
                <w:b/>
                <w:sz w:val="24"/>
              </w:rPr>
            </w:pPr>
            <w:r w:rsidRPr="008924B3">
              <w:rPr>
                <w:b/>
                <w:sz w:val="24"/>
              </w:rPr>
              <w:t>EMULSION TARGET RATE</w:t>
            </w:r>
            <w:r w:rsidR="005A6705" w:rsidRPr="008924B3">
              <w:rPr>
                <w:b/>
                <w:sz w:val="24"/>
              </w:rPr>
              <w:t>S</w:t>
            </w:r>
            <w:r w:rsidR="005A6705" w:rsidRPr="008924B3">
              <w:rPr>
                <w:b/>
                <w:sz w:val="24"/>
                <w:vertAlign w:val="superscript"/>
              </w:rPr>
              <w:t>B</w:t>
            </w:r>
            <w:r w:rsidR="008924B3">
              <w:rPr>
                <w:b/>
                <w:sz w:val="24"/>
                <w:vertAlign w:val="superscript"/>
              </w:rPr>
              <w:t>,C,D</w:t>
            </w:r>
          </w:p>
          <w:p w:rsidR="00DC44A0" w:rsidRPr="008924B3" w:rsidRDefault="00DC44A0" w:rsidP="00624E5C">
            <w:pPr>
              <w:jc w:val="center"/>
              <w:rPr>
                <w:b/>
                <w:sz w:val="24"/>
              </w:rPr>
            </w:pPr>
            <w:r w:rsidRPr="008924B3">
              <w:rPr>
                <w:b/>
                <w:sz w:val="24"/>
              </w:rPr>
              <w:t>(GAL/SY)</w:t>
            </w:r>
          </w:p>
        </w:tc>
      </w:tr>
      <w:tr w:rsidR="00DC44A0" w:rsidTr="00E254F2">
        <w:trPr>
          <w:trHeight w:hRule="exact" w:val="404"/>
        </w:trPr>
        <w:tc>
          <w:tcPr>
            <w:tcW w:w="1188" w:type="dxa"/>
          </w:tcPr>
          <w:p w:rsidR="00DC44A0" w:rsidRPr="001559EA" w:rsidRDefault="00DC44A0" w:rsidP="002D16CB">
            <w:pPr>
              <w:rPr>
                <w:sz w:val="24"/>
                <w:highlight w:val="yellow"/>
              </w:rPr>
            </w:pPr>
          </w:p>
        </w:tc>
        <w:tc>
          <w:tcPr>
            <w:tcW w:w="1170" w:type="dxa"/>
          </w:tcPr>
          <w:p w:rsidR="00DC44A0" w:rsidRPr="001559EA" w:rsidRDefault="00DC44A0" w:rsidP="0014319C">
            <w:pPr>
              <w:rPr>
                <w:sz w:val="24"/>
                <w:highlight w:val="yellow"/>
              </w:rPr>
            </w:pPr>
          </w:p>
        </w:tc>
        <w:tc>
          <w:tcPr>
            <w:tcW w:w="1260" w:type="dxa"/>
          </w:tcPr>
          <w:p w:rsidR="00DC44A0" w:rsidRPr="001559EA" w:rsidRDefault="00DC44A0" w:rsidP="001559EA">
            <w:pPr>
              <w:jc w:val="center"/>
              <w:rPr>
                <w:sz w:val="24"/>
                <w:highlight w:val="yellow"/>
              </w:rPr>
            </w:pPr>
          </w:p>
        </w:tc>
        <w:tc>
          <w:tcPr>
            <w:tcW w:w="1800" w:type="dxa"/>
          </w:tcPr>
          <w:p w:rsidR="00DC44A0" w:rsidRPr="001559EA" w:rsidRDefault="00DC44A0" w:rsidP="001559EA">
            <w:pPr>
              <w:jc w:val="center"/>
              <w:rPr>
                <w:sz w:val="24"/>
                <w:highlight w:val="yellow"/>
              </w:rPr>
            </w:pPr>
          </w:p>
        </w:tc>
        <w:tc>
          <w:tcPr>
            <w:tcW w:w="1890" w:type="dxa"/>
          </w:tcPr>
          <w:p w:rsidR="00DC44A0" w:rsidRPr="001559EA" w:rsidRDefault="00DC44A0" w:rsidP="001559EA">
            <w:pPr>
              <w:jc w:val="center"/>
              <w:rPr>
                <w:sz w:val="24"/>
                <w:highlight w:val="yellow"/>
              </w:rPr>
            </w:pPr>
          </w:p>
        </w:tc>
        <w:tc>
          <w:tcPr>
            <w:tcW w:w="1980" w:type="dxa"/>
          </w:tcPr>
          <w:p w:rsidR="00DC44A0" w:rsidRPr="001559EA" w:rsidRDefault="00DC44A0" w:rsidP="001559EA">
            <w:pPr>
              <w:jc w:val="center"/>
              <w:rPr>
                <w:sz w:val="24"/>
                <w:highlight w:val="yellow"/>
              </w:rPr>
            </w:pPr>
          </w:p>
        </w:tc>
      </w:tr>
      <w:tr w:rsidR="00DC44A0" w:rsidTr="00E254F2">
        <w:trPr>
          <w:trHeight w:hRule="exact" w:val="404"/>
        </w:trPr>
        <w:tc>
          <w:tcPr>
            <w:tcW w:w="1188" w:type="dxa"/>
          </w:tcPr>
          <w:p w:rsidR="00DC44A0" w:rsidRPr="001559EA" w:rsidRDefault="00DC44A0" w:rsidP="0014319C">
            <w:pPr>
              <w:rPr>
                <w:sz w:val="24"/>
                <w:highlight w:val="yellow"/>
              </w:rPr>
            </w:pPr>
          </w:p>
        </w:tc>
        <w:tc>
          <w:tcPr>
            <w:tcW w:w="1170" w:type="dxa"/>
          </w:tcPr>
          <w:p w:rsidR="00DC44A0" w:rsidRPr="001559EA" w:rsidRDefault="00DC44A0" w:rsidP="002D16CB">
            <w:pPr>
              <w:rPr>
                <w:sz w:val="24"/>
                <w:highlight w:val="yellow"/>
              </w:rPr>
            </w:pPr>
          </w:p>
        </w:tc>
        <w:tc>
          <w:tcPr>
            <w:tcW w:w="1260" w:type="dxa"/>
          </w:tcPr>
          <w:p w:rsidR="00DC44A0" w:rsidRPr="001559EA" w:rsidRDefault="00DC44A0" w:rsidP="001559EA">
            <w:pPr>
              <w:jc w:val="center"/>
              <w:rPr>
                <w:sz w:val="24"/>
                <w:highlight w:val="yellow"/>
              </w:rPr>
            </w:pPr>
          </w:p>
        </w:tc>
        <w:tc>
          <w:tcPr>
            <w:tcW w:w="1800" w:type="dxa"/>
          </w:tcPr>
          <w:p w:rsidR="00DC44A0" w:rsidRPr="001559EA" w:rsidRDefault="00DC44A0" w:rsidP="001559EA">
            <w:pPr>
              <w:jc w:val="center"/>
              <w:rPr>
                <w:sz w:val="24"/>
                <w:highlight w:val="yellow"/>
              </w:rPr>
            </w:pPr>
          </w:p>
        </w:tc>
        <w:tc>
          <w:tcPr>
            <w:tcW w:w="1890" w:type="dxa"/>
          </w:tcPr>
          <w:p w:rsidR="00DC44A0" w:rsidRPr="001559EA" w:rsidRDefault="00DC44A0" w:rsidP="001559EA">
            <w:pPr>
              <w:jc w:val="center"/>
              <w:rPr>
                <w:sz w:val="24"/>
                <w:highlight w:val="yellow"/>
              </w:rPr>
            </w:pPr>
          </w:p>
        </w:tc>
        <w:tc>
          <w:tcPr>
            <w:tcW w:w="1980" w:type="dxa"/>
          </w:tcPr>
          <w:p w:rsidR="00DC44A0" w:rsidRPr="001559EA" w:rsidRDefault="00DC44A0" w:rsidP="001559EA">
            <w:pPr>
              <w:jc w:val="center"/>
              <w:rPr>
                <w:sz w:val="24"/>
                <w:highlight w:val="yellow"/>
              </w:rPr>
            </w:pPr>
          </w:p>
        </w:tc>
      </w:tr>
      <w:tr w:rsidR="00DC44A0" w:rsidTr="00E254F2">
        <w:trPr>
          <w:trHeight w:hRule="exact" w:val="404"/>
        </w:trPr>
        <w:tc>
          <w:tcPr>
            <w:tcW w:w="1188" w:type="dxa"/>
          </w:tcPr>
          <w:p w:rsidR="00DC44A0" w:rsidRPr="001559EA" w:rsidRDefault="00DC44A0" w:rsidP="0014319C">
            <w:pPr>
              <w:rPr>
                <w:sz w:val="24"/>
                <w:highlight w:val="yellow"/>
              </w:rPr>
            </w:pPr>
          </w:p>
        </w:tc>
        <w:tc>
          <w:tcPr>
            <w:tcW w:w="1170" w:type="dxa"/>
          </w:tcPr>
          <w:p w:rsidR="00DC44A0" w:rsidRPr="001559EA" w:rsidRDefault="00DC44A0" w:rsidP="002D16CB">
            <w:pPr>
              <w:rPr>
                <w:sz w:val="24"/>
                <w:highlight w:val="yellow"/>
              </w:rPr>
            </w:pPr>
          </w:p>
        </w:tc>
        <w:tc>
          <w:tcPr>
            <w:tcW w:w="1260" w:type="dxa"/>
          </w:tcPr>
          <w:p w:rsidR="00DC44A0" w:rsidRPr="001559EA" w:rsidRDefault="00DC44A0" w:rsidP="001559EA">
            <w:pPr>
              <w:jc w:val="center"/>
              <w:rPr>
                <w:sz w:val="24"/>
                <w:highlight w:val="yellow"/>
              </w:rPr>
            </w:pPr>
          </w:p>
        </w:tc>
        <w:tc>
          <w:tcPr>
            <w:tcW w:w="1800" w:type="dxa"/>
          </w:tcPr>
          <w:p w:rsidR="00DC44A0" w:rsidRPr="001559EA" w:rsidRDefault="00DC44A0" w:rsidP="001559EA">
            <w:pPr>
              <w:jc w:val="center"/>
              <w:rPr>
                <w:sz w:val="24"/>
                <w:highlight w:val="yellow"/>
              </w:rPr>
            </w:pPr>
          </w:p>
        </w:tc>
        <w:tc>
          <w:tcPr>
            <w:tcW w:w="1890" w:type="dxa"/>
          </w:tcPr>
          <w:p w:rsidR="00DC44A0" w:rsidRPr="001559EA" w:rsidRDefault="00DC44A0" w:rsidP="001559EA">
            <w:pPr>
              <w:jc w:val="center"/>
              <w:rPr>
                <w:sz w:val="24"/>
                <w:highlight w:val="yellow"/>
              </w:rPr>
            </w:pPr>
          </w:p>
        </w:tc>
        <w:tc>
          <w:tcPr>
            <w:tcW w:w="1980" w:type="dxa"/>
          </w:tcPr>
          <w:p w:rsidR="00DC44A0" w:rsidRPr="001559EA" w:rsidRDefault="00DC44A0" w:rsidP="001559EA">
            <w:pPr>
              <w:jc w:val="center"/>
              <w:rPr>
                <w:sz w:val="24"/>
                <w:highlight w:val="yellow"/>
              </w:rPr>
            </w:pPr>
          </w:p>
        </w:tc>
      </w:tr>
      <w:tr w:rsidR="00DC44A0" w:rsidTr="00E254F2">
        <w:trPr>
          <w:trHeight w:hRule="exact" w:val="404"/>
        </w:trPr>
        <w:tc>
          <w:tcPr>
            <w:tcW w:w="1188" w:type="dxa"/>
          </w:tcPr>
          <w:p w:rsidR="00DC44A0" w:rsidRPr="001559EA" w:rsidRDefault="00DC44A0" w:rsidP="0014319C">
            <w:pPr>
              <w:rPr>
                <w:sz w:val="24"/>
                <w:highlight w:val="yellow"/>
              </w:rPr>
            </w:pPr>
          </w:p>
        </w:tc>
        <w:tc>
          <w:tcPr>
            <w:tcW w:w="1170" w:type="dxa"/>
          </w:tcPr>
          <w:p w:rsidR="00DC44A0" w:rsidRPr="001559EA" w:rsidRDefault="00DC44A0" w:rsidP="002D16CB">
            <w:pPr>
              <w:rPr>
                <w:sz w:val="24"/>
                <w:highlight w:val="yellow"/>
              </w:rPr>
            </w:pPr>
          </w:p>
        </w:tc>
        <w:tc>
          <w:tcPr>
            <w:tcW w:w="1260" w:type="dxa"/>
          </w:tcPr>
          <w:p w:rsidR="00DC44A0" w:rsidRPr="001559EA" w:rsidRDefault="00DC44A0" w:rsidP="001559EA">
            <w:pPr>
              <w:jc w:val="center"/>
              <w:rPr>
                <w:sz w:val="24"/>
                <w:highlight w:val="yellow"/>
              </w:rPr>
            </w:pPr>
          </w:p>
        </w:tc>
        <w:tc>
          <w:tcPr>
            <w:tcW w:w="1800" w:type="dxa"/>
          </w:tcPr>
          <w:p w:rsidR="00DC44A0" w:rsidRPr="001559EA" w:rsidRDefault="00DC44A0" w:rsidP="001559EA">
            <w:pPr>
              <w:jc w:val="center"/>
              <w:rPr>
                <w:sz w:val="24"/>
                <w:highlight w:val="yellow"/>
              </w:rPr>
            </w:pPr>
          </w:p>
        </w:tc>
        <w:tc>
          <w:tcPr>
            <w:tcW w:w="1890" w:type="dxa"/>
          </w:tcPr>
          <w:p w:rsidR="00DC44A0" w:rsidRPr="001559EA" w:rsidRDefault="00DC44A0" w:rsidP="001559EA">
            <w:pPr>
              <w:jc w:val="center"/>
              <w:rPr>
                <w:sz w:val="24"/>
                <w:highlight w:val="yellow"/>
              </w:rPr>
            </w:pPr>
          </w:p>
        </w:tc>
        <w:tc>
          <w:tcPr>
            <w:tcW w:w="1980" w:type="dxa"/>
          </w:tcPr>
          <w:p w:rsidR="00DC44A0" w:rsidRPr="001559EA" w:rsidRDefault="00DC44A0" w:rsidP="001559EA">
            <w:pPr>
              <w:jc w:val="center"/>
              <w:rPr>
                <w:sz w:val="24"/>
                <w:highlight w:val="yellow"/>
              </w:rPr>
            </w:pPr>
          </w:p>
        </w:tc>
      </w:tr>
    </w:tbl>
    <w:p w:rsidR="00342AF9" w:rsidRPr="008924B3" w:rsidRDefault="00342AF9" w:rsidP="001621AE">
      <w:pPr>
        <w:numPr>
          <w:ilvl w:val="0"/>
          <w:numId w:val="8"/>
        </w:numPr>
        <w:spacing w:before="0" w:after="0"/>
        <w:rPr>
          <w:sz w:val="24"/>
        </w:rPr>
      </w:pPr>
      <w:r w:rsidRPr="008924B3">
        <w:rPr>
          <w:sz w:val="24"/>
        </w:rPr>
        <w:t xml:space="preserve">Aggregate Target Rates have </w:t>
      </w:r>
      <w:r w:rsidRPr="00E91D36">
        <w:rPr>
          <w:sz w:val="24"/>
        </w:rPr>
        <w:t xml:space="preserve">+/- </w:t>
      </w:r>
      <w:r w:rsidR="00127783" w:rsidRPr="00E91D36">
        <w:rPr>
          <w:sz w:val="24"/>
        </w:rPr>
        <w:t>2</w:t>
      </w:r>
      <w:r w:rsidR="008924B3" w:rsidRPr="00E91D36">
        <w:rPr>
          <w:sz w:val="24"/>
        </w:rPr>
        <w:t>.0</w:t>
      </w:r>
      <w:r w:rsidRPr="00E91D36">
        <w:rPr>
          <w:sz w:val="24"/>
        </w:rPr>
        <w:t xml:space="preserve"> </w:t>
      </w:r>
      <w:proofErr w:type="spellStart"/>
      <w:r w:rsidRPr="008924B3">
        <w:rPr>
          <w:sz w:val="24"/>
        </w:rPr>
        <w:t>lbs</w:t>
      </w:r>
      <w:proofErr w:type="spellEnd"/>
      <w:r w:rsidRPr="008924B3">
        <w:rPr>
          <w:sz w:val="24"/>
        </w:rPr>
        <w:t>/</w:t>
      </w:r>
      <w:proofErr w:type="spellStart"/>
      <w:r w:rsidRPr="008924B3">
        <w:rPr>
          <w:sz w:val="24"/>
        </w:rPr>
        <w:t>sy</w:t>
      </w:r>
      <w:proofErr w:type="spellEnd"/>
      <w:r w:rsidRPr="008924B3">
        <w:rPr>
          <w:sz w:val="24"/>
        </w:rPr>
        <w:t xml:space="preserve"> tolerance limit.</w:t>
      </w:r>
    </w:p>
    <w:p w:rsidR="00342AF9" w:rsidRPr="008924B3" w:rsidRDefault="00342AF9" w:rsidP="001621AE">
      <w:pPr>
        <w:numPr>
          <w:ilvl w:val="0"/>
          <w:numId w:val="8"/>
        </w:numPr>
        <w:spacing w:before="0" w:after="0"/>
        <w:rPr>
          <w:sz w:val="24"/>
        </w:rPr>
      </w:pPr>
      <w:r w:rsidRPr="008924B3">
        <w:rPr>
          <w:sz w:val="24"/>
        </w:rPr>
        <w:t xml:space="preserve">Emulsion Target Rates have </w:t>
      </w:r>
      <w:r w:rsidRPr="00E91D36">
        <w:rPr>
          <w:sz w:val="24"/>
        </w:rPr>
        <w:t>+/- 0.0</w:t>
      </w:r>
      <w:r w:rsidR="008924B3" w:rsidRPr="00E91D36">
        <w:rPr>
          <w:sz w:val="24"/>
        </w:rPr>
        <w:t>5</w:t>
      </w:r>
      <w:r w:rsidRPr="00E91D36">
        <w:rPr>
          <w:sz w:val="24"/>
        </w:rPr>
        <w:t xml:space="preserve"> </w:t>
      </w:r>
      <w:r w:rsidRPr="008924B3">
        <w:rPr>
          <w:sz w:val="24"/>
        </w:rPr>
        <w:t>gal/</w:t>
      </w:r>
      <w:proofErr w:type="spellStart"/>
      <w:r w:rsidRPr="008924B3">
        <w:rPr>
          <w:sz w:val="24"/>
        </w:rPr>
        <w:t>sy</w:t>
      </w:r>
      <w:proofErr w:type="spellEnd"/>
      <w:r w:rsidRPr="008924B3">
        <w:rPr>
          <w:sz w:val="24"/>
        </w:rPr>
        <w:t xml:space="preserve"> tolerance limit.</w:t>
      </w:r>
      <w:r w:rsidR="004F39C7" w:rsidRPr="008924B3">
        <w:rPr>
          <w:sz w:val="24"/>
          <w:highlight w:val="lightGray"/>
        </w:rPr>
        <w:t xml:space="preserve"> </w:t>
      </w:r>
    </w:p>
    <w:p w:rsidR="001559EA" w:rsidRPr="005A6705" w:rsidRDefault="005A6705" w:rsidP="008924B3">
      <w:pPr>
        <w:pStyle w:val="ListParagraph"/>
        <w:numPr>
          <w:ilvl w:val="0"/>
          <w:numId w:val="8"/>
        </w:numPr>
        <w:spacing w:before="0" w:after="0"/>
        <w:rPr>
          <w:sz w:val="24"/>
        </w:rPr>
      </w:pPr>
      <w:r>
        <w:rPr>
          <w:sz w:val="24"/>
        </w:rPr>
        <w:t>G</w:t>
      </w:r>
      <w:r w:rsidR="001559EA" w:rsidRPr="005A6705">
        <w:rPr>
          <w:sz w:val="24"/>
        </w:rPr>
        <w:t>rades of emulsion shall be CRS-2L or CRS-2P.</w:t>
      </w:r>
    </w:p>
    <w:p w:rsidR="00342AF9" w:rsidRDefault="00342AF9" w:rsidP="008924B3">
      <w:pPr>
        <w:numPr>
          <w:ilvl w:val="0"/>
          <w:numId w:val="8"/>
        </w:numPr>
        <w:spacing w:before="0" w:after="0"/>
        <w:rPr>
          <w:sz w:val="24"/>
        </w:rPr>
      </w:pPr>
      <w:r w:rsidRPr="00342AF9">
        <w:rPr>
          <w:sz w:val="24"/>
        </w:rPr>
        <w:t>Application temperatures shall be 1</w:t>
      </w:r>
      <w:r w:rsidR="001559EA">
        <w:rPr>
          <w:sz w:val="24"/>
        </w:rPr>
        <w:t>60</w:t>
      </w:r>
      <w:r w:rsidRPr="00342AF9">
        <w:rPr>
          <w:sz w:val="24"/>
        </w:rPr>
        <w:t>-170</w:t>
      </w:r>
      <w:r>
        <w:rPr>
          <w:sz w:val="24"/>
        </w:rPr>
        <w:t>º</w:t>
      </w:r>
      <w:r w:rsidRPr="00342AF9">
        <w:rPr>
          <w:sz w:val="24"/>
        </w:rPr>
        <w:t>F.</w:t>
      </w:r>
    </w:p>
    <w:p w:rsidR="008A0A8D" w:rsidRDefault="008A0A8D" w:rsidP="007839C9">
      <w:pPr>
        <w:spacing w:before="0" w:after="0"/>
        <w:rPr>
          <w:sz w:val="24"/>
        </w:rPr>
      </w:pPr>
    </w:p>
    <w:p w:rsidR="000C3F46" w:rsidRPr="000C3F46" w:rsidRDefault="000C3F46" w:rsidP="000C3F46">
      <w:pPr>
        <w:spacing w:before="0"/>
        <w:rPr>
          <w:sz w:val="24"/>
        </w:rPr>
      </w:pPr>
      <w:r>
        <w:rPr>
          <w:sz w:val="24"/>
        </w:rPr>
        <w:t xml:space="preserve">Contractor shall adjust aggregate and emulsion rates as necessary based on the existing surface, roadway conditions, weather conditions, and as directed by the Engineer.  When the Engineer requires aggregate to be applied at rates above the tolerance limit, the additional aggregate above the limit will be paid in accordance with Article 104-7 of the </w:t>
      </w:r>
      <w:r w:rsidRPr="000C3F46">
        <w:rPr>
          <w:i/>
          <w:sz w:val="24"/>
        </w:rPr>
        <w:t>Standard Specifications</w:t>
      </w:r>
      <w:r>
        <w:rPr>
          <w:sz w:val="24"/>
        </w:rPr>
        <w:t>.</w:t>
      </w:r>
    </w:p>
    <w:p w:rsidR="000C3F46" w:rsidRDefault="000C3F46" w:rsidP="007839C9">
      <w:pPr>
        <w:spacing w:before="0" w:after="0"/>
        <w:rPr>
          <w:sz w:val="24"/>
        </w:rPr>
      </w:pPr>
    </w:p>
    <w:sectPr w:rsidR="000C3F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E8F" w:rsidRDefault="00910E8F" w:rsidP="00AF4FC1">
      <w:pPr>
        <w:spacing w:before="0" w:after="0"/>
      </w:pPr>
      <w:r>
        <w:separator/>
      </w:r>
    </w:p>
  </w:endnote>
  <w:endnote w:type="continuationSeparator" w:id="0">
    <w:p w:rsidR="00910E8F" w:rsidRDefault="00910E8F" w:rsidP="00AF4F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DD2" w:rsidRDefault="009D5DD2">
    <w:pPr>
      <w:pStyle w:val="Footer"/>
      <w:jc w:val="right"/>
    </w:pPr>
  </w:p>
  <w:p w:rsidR="009D5DD2" w:rsidRDefault="009D5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E8F" w:rsidRDefault="00910E8F" w:rsidP="00AF4FC1">
      <w:pPr>
        <w:spacing w:before="0" w:after="0"/>
      </w:pPr>
      <w:r>
        <w:separator/>
      </w:r>
    </w:p>
  </w:footnote>
  <w:footnote w:type="continuationSeparator" w:id="0">
    <w:p w:rsidR="00910E8F" w:rsidRDefault="00910E8F" w:rsidP="00AF4FC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315"/>
    <w:multiLevelType w:val="hybridMultilevel"/>
    <w:tmpl w:val="3190C668"/>
    <w:lvl w:ilvl="0" w:tplc="DC261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5607F"/>
    <w:multiLevelType w:val="hybridMultilevel"/>
    <w:tmpl w:val="CD12EB4C"/>
    <w:lvl w:ilvl="0" w:tplc="251ADB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8444F"/>
    <w:multiLevelType w:val="multilevel"/>
    <w:tmpl w:val="E72C365C"/>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C370453"/>
    <w:multiLevelType w:val="multilevel"/>
    <w:tmpl w:val="0F06A534"/>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W1)" w:hAnsi="Times New (W1)" w:cs="Times New Roman" w:hint="default"/>
        <w:b w:val="0"/>
        <w:i w:val="0"/>
        <w:sz w:val="20"/>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39203CF"/>
    <w:multiLevelType w:val="hybridMultilevel"/>
    <w:tmpl w:val="1F4AA7AA"/>
    <w:lvl w:ilvl="0" w:tplc="DA2661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86C29C7"/>
    <w:multiLevelType w:val="hybridMultilevel"/>
    <w:tmpl w:val="991C6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F17A9"/>
    <w:multiLevelType w:val="multilevel"/>
    <w:tmpl w:val="E72C365C"/>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3900102"/>
    <w:multiLevelType w:val="multilevel"/>
    <w:tmpl w:val="880CDE32"/>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W1)" w:hAnsi="Times New (W1)" w:cs="Times New Roman" w:hint="default"/>
        <w:b w:val="0"/>
        <w:i w:val="0"/>
        <w:sz w:val="20"/>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A095944"/>
    <w:multiLevelType w:val="hybridMultilevel"/>
    <w:tmpl w:val="1ABE3984"/>
    <w:lvl w:ilvl="0" w:tplc="BEFC67B0">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1850988"/>
    <w:multiLevelType w:val="hybridMultilevel"/>
    <w:tmpl w:val="F1DE5AC2"/>
    <w:lvl w:ilvl="0" w:tplc="2ED87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8D2181"/>
    <w:multiLevelType w:val="multilevel"/>
    <w:tmpl w:val="E72C365C"/>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4F24769"/>
    <w:multiLevelType w:val="multilevel"/>
    <w:tmpl w:val="880CDE32"/>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W1)" w:hAnsi="Times New (W1)" w:cs="Times New Roman" w:hint="default"/>
        <w:b w:val="0"/>
        <w:i w:val="0"/>
        <w:sz w:val="20"/>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52E2476"/>
    <w:multiLevelType w:val="multilevel"/>
    <w:tmpl w:val="880CDE32"/>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W1)" w:hAnsi="Times New (W1)" w:cs="Times New Roman" w:hint="default"/>
        <w:b w:val="0"/>
        <w:i w:val="0"/>
        <w:sz w:val="20"/>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DAD1ACD"/>
    <w:multiLevelType w:val="multilevel"/>
    <w:tmpl w:val="880CDE32"/>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W1)" w:hAnsi="Times New (W1)" w:cs="Times New Roman" w:hint="default"/>
        <w:b w:val="0"/>
        <w:i w:val="0"/>
        <w:sz w:val="20"/>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1"/>
  </w:num>
  <w:num w:numId="11">
    <w:abstractNumId w:val="4"/>
  </w:num>
  <w:num w:numId="12">
    <w:abstractNumId w:val="10"/>
  </w:num>
  <w:num w:numId="13">
    <w:abstractNumId w:val="6"/>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6B"/>
    <w:rsid w:val="00000DFC"/>
    <w:rsid w:val="000102B7"/>
    <w:rsid w:val="000111C9"/>
    <w:rsid w:val="000244CE"/>
    <w:rsid w:val="00050F00"/>
    <w:rsid w:val="0005478C"/>
    <w:rsid w:val="00056875"/>
    <w:rsid w:val="00072D98"/>
    <w:rsid w:val="000813B6"/>
    <w:rsid w:val="00083B1D"/>
    <w:rsid w:val="000B1C58"/>
    <w:rsid w:val="000B2456"/>
    <w:rsid w:val="000C1059"/>
    <w:rsid w:val="000C3F46"/>
    <w:rsid w:val="000C439C"/>
    <w:rsid w:val="000C542F"/>
    <w:rsid w:val="000C5E26"/>
    <w:rsid w:val="00102867"/>
    <w:rsid w:val="00124DEF"/>
    <w:rsid w:val="00127783"/>
    <w:rsid w:val="0014319C"/>
    <w:rsid w:val="00146A3A"/>
    <w:rsid w:val="001475BF"/>
    <w:rsid w:val="001559EA"/>
    <w:rsid w:val="0015778E"/>
    <w:rsid w:val="001621AE"/>
    <w:rsid w:val="0016428B"/>
    <w:rsid w:val="001662C6"/>
    <w:rsid w:val="00195EE5"/>
    <w:rsid w:val="001A1859"/>
    <w:rsid w:val="001B6BC7"/>
    <w:rsid w:val="001F196C"/>
    <w:rsid w:val="001F1E25"/>
    <w:rsid w:val="00207687"/>
    <w:rsid w:val="00240663"/>
    <w:rsid w:val="00245840"/>
    <w:rsid w:val="0025325F"/>
    <w:rsid w:val="002632E5"/>
    <w:rsid w:val="00272B84"/>
    <w:rsid w:val="00283314"/>
    <w:rsid w:val="002961DF"/>
    <w:rsid w:val="002A6590"/>
    <w:rsid w:val="002D0D9E"/>
    <w:rsid w:val="002D16CB"/>
    <w:rsid w:val="002F5F75"/>
    <w:rsid w:val="00305F12"/>
    <w:rsid w:val="003071B5"/>
    <w:rsid w:val="00310063"/>
    <w:rsid w:val="00324395"/>
    <w:rsid w:val="00340D6C"/>
    <w:rsid w:val="00342AF9"/>
    <w:rsid w:val="00383A0A"/>
    <w:rsid w:val="00391BB9"/>
    <w:rsid w:val="003C06C5"/>
    <w:rsid w:val="003D1394"/>
    <w:rsid w:val="003D5D4A"/>
    <w:rsid w:val="003F0AC7"/>
    <w:rsid w:val="003F4C33"/>
    <w:rsid w:val="00406596"/>
    <w:rsid w:val="00461B9E"/>
    <w:rsid w:val="004B08BF"/>
    <w:rsid w:val="004B737D"/>
    <w:rsid w:val="004E1E30"/>
    <w:rsid w:val="004E3049"/>
    <w:rsid w:val="004F10FE"/>
    <w:rsid w:val="004F39C7"/>
    <w:rsid w:val="00503CC5"/>
    <w:rsid w:val="00513AFC"/>
    <w:rsid w:val="0051681F"/>
    <w:rsid w:val="00524D18"/>
    <w:rsid w:val="00534DF0"/>
    <w:rsid w:val="00553FB4"/>
    <w:rsid w:val="0057212D"/>
    <w:rsid w:val="0058576F"/>
    <w:rsid w:val="005A2EB1"/>
    <w:rsid w:val="005A421A"/>
    <w:rsid w:val="005A6705"/>
    <w:rsid w:val="005C743A"/>
    <w:rsid w:val="005D0F09"/>
    <w:rsid w:val="005E2C5C"/>
    <w:rsid w:val="005E384C"/>
    <w:rsid w:val="005E7A93"/>
    <w:rsid w:val="005F63E0"/>
    <w:rsid w:val="0060052E"/>
    <w:rsid w:val="006210EF"/>
    <w:rsid w:val="00624E5C"/>
    <w:rsid w:val="0062500D"/>
    <w:rsid w:val="00636E43"/>
    <w:rsid w:val="00640C70"/>
    <w:rsid w:val="006600FC"/>
    <w:rsid w:val="006629F2"/>
    <w:rsid w:val="0066713B"/>
    <w:rsid w:val="00670DFF"/>
    <w:rsid w:val="00671D50"/>
    <w:rsid w:val="006A1870"/>
    <w:rsid w:val="006B403B"/>
    <w:rsid w:val="006B6358"/>
    <w:rsid w:val="006B7CAC"/>
    <w:rsid w:val="006C2ED7"/>
    <w:rsid w:val="006D7F99"/>
    <w:rsid w:val="0070226A"/>
    <w:rsid w:val="00714FA5"/>
    <w:rsid w:val="00715C2E"/>
    <w:rsid w:val="0073128D"/>
    <w:rsid w:val="00731EAF"/>
    <w:rsid w:val="0075370D"/>
    <w:rsid w:val="0076401B"/>
    <w:rsid w:val="00781076"/>
    <w:rsid w:val="007839C9"/>
    <w:rsid w:val="007B3882"/>
    <w:rsid w:val="007B4204"/>
    <w:rsid w:val="007F36E6"/>
    <w:rsid w:val="008722E9"/>
    <w:rsid w:val="00881112"/>
    <w:rsid w:val="00882907"/>
    <w:rsid w:val="008924B3"/>
    <w:rsid w:val="00895A18"/>
    <w:rsid w:val="008A0A8D"/>
    <w:rsid w:val="008E656F"/>
    <w:rsid w:val="008F135B"/>
    <w:rsid w:val="008F3295"/>
    <w:rsid w:val="008F6804"/>
    <w:rsid w:val="009023BB"/>
    <w:rsid w:val="00910E8F"/>
    <w:rsid w:val="00911884"/>
    <w:rsid w:val="00915C49"/>
    <w:rsid w:val="00936420"/>
    <w:rsid w:val="00962D7B"/>
    <w:rsid w:val="0097275C"/>
    <w:rsid w:val="00997BF8"/>
    <w:rsid w:val="009A78F6"/>
    <w:rsid w:val="009B6DC8"/>
    <w:rsid w:val="009D5DD2"/>
    <w:rsid w:val="00A025B1"/>
    <w:rsid w:val="00A1308C"/>
    <w:rsid w:val="00A13C12"/>
    <w:rsid w:val="00A20A39"/>
    <w:rsid w:val="00A42A47"/>
    <w:rsid w:val="00A53C7E"/>
    <w:rsid w:val="00A54AD9"/>
    <w:rsid w:val="00A76B36"/>
    <w:rsid w:val="00A7746C"/>
    <w:rsid w:val="00A826D5"/>
    <w:rsid w:val="00A918C6"/>
    <w:rsid w:val="00A928E3"/>
    <w:rsid w:val="00AA727A"/>
    <w:rsid w:val="00AA7AE3"/>
    <w:rsid w:val="00AB04C4"/>
    <w:rsid w:val="00AB2A41"/>
    <w:rsid w:val="00AB446C"/>
    <w:rsid w:val="00AB56C1"/>
    <w:rsid w:val="00AC6D39"/>
    <w:rsid w:val="00AE52A0"/>
    <w:rsid w:val="00AF4FC1"/>
    <w:rsid w:val="00B1511D"/>
    <w:rsid w:val="00B3076B"/>
    <w:rsid w:val="00B36CB0"/>
    <w:rsid w:val="00B408E0"/>
    <w:rsid w:val="00B4634E"/>
    <w:rsid w:val="00B65A26"/>
    <w:rsid w:val="00B7177F"/>
    <w:rsid w:val="00B82ADE"/>
    <w:rsid w:val="00B94706"/>
    <w:rsid w:val="00BE17DE"/>
    <w:rsid w:val="00BE740D"/>
    <w:rsid w:val="00BF2ECA"/>
    <w:rsid w:val="00BF5FA4"/>
    <w:rsid w:val="00C07810"/>
    <w:rsid w:val="00C24DCD"/>
    <w:rsid w:val="00C668D6"/>
    <w:rsid w:val="00C75DEA"/>
    <w:rsid w:val="00C767A5"/>
    <w:rsid w:val="00C85DCF"/>
    <w:rsid w:val="00C93F27"/>
    <w:rsid w:val="00C95B09"/>
    <w:rsid w:val="00CA4CC8"/>
    <w:rsid w:val="00CA6C99"/>
    <w:rsid w:val="00CB121B"/>
    <w:rsid w:val="00CD023C"/>
    <w:rsid w:val="00CD677E"/>
    <w:rsid w:val="00CE1DB6"/>
    <w:rsid w:val="00CF56B9"/>
    <w:rsid w:val="00CF77B0"/>
    <w:rsid w:val="00D017D8"/>
    <w:rsid w:val="00D022B9"/>
    <w:rsid w:val="00D10271"/>
    <w:rsid w:val="00D11F6B"/>
    <w:rsid w:val="00D4798E"/>
    <w:rsid w:val="00D53E0E"/>
    <w:rsid w:val="00D83672"/>
    <w:rsid w:val="00D916FA"/>
    <w:rsid w:val="00D9408C"/>
    <w:rsid w:val="00D96380"/>
    <w:rsid w:val="00D97461"/>
    <w:rsid w:val="00DA029D"/>
    <w:rsid w:val="00DA168D"/>
    <w:rsid w:val="00DB43D9"/>
    <w:rsid w:val="00DC0E50"/>
    <w:rsid w:val="00DC368B"/>
    <w:rsid w:val="00DC44A0"/>
    <w:rsid w:val="00DD3863"/>
    <w:rsid w:val="00DE51DE"/>
    <w:rsid w:val="00E10823"/>
    <w:rsid w:val="00E11AFC"/>
    <w:rsid w:val="00E16138"/>
    <w:rsid w:val="00E1648C"/>
    <w:rsid w:val="00E254F2"/>
    <w:rsid w:val="00E26362"/>
    <w:rsid w:val="00E51205"/>
    <w:rsid w:val="00E6294C"/>
    <w:rsid w:val="00E66808"/>
    <w:rsid w:val="00E74061"/>
    <w:rsid w:val="00E76D8E"/>
    <w:rsid w:val="00E83EE1"/>
    <w:rsid w:val="00E85E54"/>
    <w:rsid w:val="00E91D36"/>
    <w:rsid w:val="00E932E9"/>
    <w:rsid w:val="00EC63CC"/>
    <w:rsid w:val="00EE1D97"/>
    <w:rsid w:val="00EE35E3"/>
    <w:rsid w:val="00EE4802"/>
    <w:rsid w:val="00EF5C91"/>
    <w:rsid w:val="00F21619"/>
    <w:rsid w:val="00F304C9"/>
    <w:rsid w:val="00F42CB0"/>
    <w:rsid w:val="00F43572"/>
    <w:rsid w:val="00F51AD5"/>
    <w:rsid w:val="00F55721"/>
    <w:rsid w:val="00F61CBD"/>
    <w:rsid w:val="00F62419"/>
    <w:rsid w:val="00F918F4"/>
    <w:rsid w:val="00FC43D9"/>
    <w:rsid w:val="00FF42DA"/>
    <w:rsid w:val="00FF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3E215-0B14-4B2A-B09C-E201C6B8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6E6"/>
    <w:pPr>
      <w:spacing w:before="120" w:after="120" w:line="240" w:lineRule="auto"/>
      <w:jc w:val="both"/>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D11F6B"/>
    <w:pPr>
      <w:keepNext/>
      <w:spacing w:before="0" w:after="0"/>
      <w:jc w:val="center"/>
      <w:outlineLvl w:val="1"/>
    </w:pPr>
    <w:rPr>
      <w:rFonts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11F6B"/>
    <w:rPr>
      <w:rFonts w:ascii="Times New Roman" w:eastAsia="Times New Roman" w:hAnsi="Times New Roman" w:cs="Arial"/>
      <w:b/>
      <w:bCs/>
      <w:iCs/>
      <w:sz w:val="24"/>
      <w:szCs w:val="28"/>
    </w:rPr>
  </w:style>
  <w:style w:type="character" w:customStyle="1" w:styleId="Heading2ndlineofHeading2Char">
    <w:name w:val="Heading 2nd line of Heading 2 Char"/>
    <w:link w:val="Heading2ndlineofHeading2"/>
    <w:locked/>
    <w:rsid w:val="00D11F6B"/>
    <w:rPr>
      <w:rFonts w:ascii="Arial" w:hAnsi="Arial" w:cs="Arial"/>
      <w:b/>
      <w:bCs/>
      <w:iCs/>
      <w:color w:val="000000"/>
      <w:sz w:val="24"/>
      <w:szCs w:val="28"/>
    </w:rPr>
  </w:style>
  <w:style w:type="paragraph" w:customStyle="1" w:styleId="Heading2ndlineofHeading2">
    <w:name w:val="Heading 2nd line of Heading 2"/>
    <w:basedOn w:val="Heading2"/>
    <w:link w:val="Heading2ndlineofHeading2Char"/>
    <w:rsid w:val="00D11F6B"/>
    <w:rPr>
      <w:rFonts w:ascii="Arial" w:eastAsiaTheme="minorHAnsi" w:hAnsi="Arial"/>
      <w:color w:val="000000"/>
    </w:rPr>
  </w:style>
  <w:style w:type="character" w:customStyle="1" w:styleId="SectionNumberChar">
    <w:name w:val="Section Number Char"/>
    <w:basedOn w:val="Heading2Char"/>
    <w:link w:val="SectionNumber"/>
    <w:locked/>
    <w:rsid w:val="00D11F6B"/>
    <w:rPr>
      <w:rFonts w:ascii="Arial" w:eastAsia="Times New Roman" w:hAnsi="Arial" w:cs="Arial"/>
      <w:b/>
      <w:bCs/>
      <w:iCs/>
      <w:sz w:val="24"/>
      <w:szCs w:val="28"/>
    </w:rPr>
  </w:style>
  <w:style w:type="paragraph" w:customStyle="1" w:styleId="SectionNumber">
    <w:name w:val="Section Number"/>
    <w:basedOn w:val="Heading2"/>
    <w:link w:val="SectionNumberChar"/>
    <w:rsid w:val="00D11F6B"/>
    <w:rPr>
      <w:rFonts w:ascii="Arial" w:hAnsi="Arial"/>
    </w:rPr>
  </w:style>
  <w:style w:type="paragraph" w:styleId="BalloonText">
    <w:name w:val="Balloon Text"/>
    <w:basedOn w:val="Normal"/>
    <w:link w:val="BalloonTextChar"/>
    <w:uiPriority w:val="99"/>
    <w:semiHidden/>
    <w:unhideWhenUsed/>
    <w:rsid w:val="007F36E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6E6"/>
    <w:rPr>
      <w:rFonts w:ascii="Tahoma" w:eastAsia="Times New Roman" w:hAnsi="Tahoma" w:cs="Tahoma"/>
      <w:sz w:val="16"/>
      <w:szCs w:val="16"/>
    </w:rPr>
  </w:style>
  <w:style w:type="paragraph" w:styleId="Header">
    <w:name w:val="header"/>
    <w:basedOn w:val="Normal"/>
    <w:link w:val="HeaderChar"/>
    <w:uiPriority w:val="99"/>
    <w:unhideWhenUsed/>
    <w:rsid w:val="00AF4FC1"/>
    <w:pPr>
      <w:tabs>
        <w:tab w:val="center" w:pos="4680"/>
        <w:tab w:val="right" w:pos="9360"/>
      </w:tabs>
      <w:spacing w:before="0" w:after="0"/>
    </w:pPr>
  </w:style>
  <w:style w:type="character" w:customStyle="1" w:styleId="HeaderChar">
    <w:name w:val="Header Char"/>
    <w:basedOn w:val="DefaultParagraphFont"/>
    <w:link w:val="Header"/>
    <w:uiPriority w:val="99"/>
    <w:rsid w:val="00AF4FC1"/>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AF4FC1"/>
    <w:pPr>
      <w:tabs>
        <w:tab w:val="center" w:pos="4680"/>
        <w:tab w:val="right" w:pos="9360"/>
      </w:tabs>
      <w:spacing w:before="0" w:after="0"/>
    </w:pPr>
  </w:style>
  <w:style w:type="character" w:customStyle="1" w:styleId="FooterChar">
    <w:name w:val="Footer Char"/>
    <w:basedOn w:val="DefaultParagraphFont"/>
    <w:link w:val="Footer"/>
    <w:uiPriority w:val="99"/>
    <w:rsid w:val="00AF4FC1"/>
    <w:rPr>
      <w:rFonts w:ascii="Times New Roman" w:eastAsia="Times New Roman" w:hAnsi="Times New Roman" w:cs="Times New Roman"/>
      <w:sz w:val="20"/>
      <w:szCs w:val="24"/>
    </w:rPr>
  </w:style>
  <w:style w:type="character" w:styleId="Hyperlink">
    <w:name w:val="Hyperlink"/>
    <w:basedOn w:val="DefaultParagraphFont"/>
    <w:uiPriority w:val="99"/>
    <w:unhideWhenUsed/>
    <w:rsid w:val="00A13C12"/>
    <w:rPr>
      <w:color w:val="0000FF" w:themeColor="hyperlink"/>
      <w:u w:val="single"/>
    </w:rPr>
  </w:style>
  <w:style w:type="character" w:styleId="FollowedHyperlink">
    <w:name w:val="FollowedHyperlink"/>
    <w:basedOn w:val="DefaultParagraphFont"/>
    <w:uiPriority w:val="99"/>
    <w:semiHidden/>
    <w:unhideWhenUsed/>
    <w:rsid w:val="006A1870"/>
    <w:rPr>
      <w:color w:val="800080" w:themeColor="followedHyperlink"/>
      <w:u w:val="single"/>
    </w:rPr>
  </w:style>
  <w:style w:type="paragraph" w:styleId="ListParagraph">
    <w:name w:val="List Paragraph"/>
    <w:basedOn w:val="Normal"/>
    <w:uiPriority w:val="34"/>
    <w:qFormat/>
    <w:rsid w:val="003D1394"/>
    <w:pPr>
      <w:ind w:left="720"/>
      <w:contextualSpacing/>
    </w:pPr>
  </w:style>
  <w:style w:type="table" w:styleId="TableGrid">
    <w:name w:val="Table Grid"/>
    <w:basedOn w:val="TableNormal"/>
    <w:uiPriority w:val="59"/>
    <w:rsid w:val="002D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2459">
      <w:bodyDiv w:val="1"/>
      <w:marLeft w:val="0"/>
      <w:marRight w:val="0"/>
      <w:marTop w:val="0"/>
      <w:marBottom w:val="0"/>
      <w:divBdr>
        <w:top w:val="none" w:sz="0" w:space="0" w:color="auto"/>
        <w:left w:val="none" w:sz="0" w:space="0" w:color="auto"/>
        <w:bottom w:val="none" w:sz="0" w:space="0" w:color="auto"/>
        <w:right w:val="none" w:sz="0" w:space="0" w:color="auto"/>
      </w:divBdr>
    </w:div>
    <w:div w:id="359478392">
      <w:bodyDiv w:val="1"/>
      <w:marLeft w:val="0"/>
      <w:marRight w:val="0"/>
      <w:marTop w:val="0"/>
      <w:marBottom w:val="0"/>
      <w:divBdr>
        <w:top w:val="none" w:sz="0" w:space="0" w:color="auto"/>
        <w:left w:val="none" w:sz="0" w:space="0" w:color="auto"/>
        <w:bottom w:val="none" w:sz="0" w:space="0" w:color="auto"/>
        <w:right w:val="none" w:sz="0" w:space="0" w:color="auto"/>
      </w:divBdr>
    </w:div>
    <w:div w:id="468404660">
      <w:bodyDiv w:val="1"/>
      <w:marLeft w:val="0"/>
      <w:marRight w:val="0"/>
      <w:marTop w:val="0"/>
      <w:marBottom w:val="0"/>
      <w:divBdr>
        <w:top w:val="none" w:sz="0" w:space="0" w:color="auto"/>
        <w:left w:val="none" w:sz="0" w:space="0" w:color="auto"/>
        <w:bottom w:val="none" w:sz="0" w:space="0" w:color="auto"/>
        <w:right w:val="none" w:sz="0" w:space="0" w:color="auto"/>
      </w:divBdr>
    </w:div>
    <w:div w:id="5760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CONNECT-1368027980-163</_dlc_DocId>
    <_dlc_DocIdUrl xmlns="16f00c2e-ac5c-418b-9f13-a0771dbd417d">
      <Url>https://connect.ncdot.gov/resources/Specifications/_layouts/15/DocIdRedir.aspx?ID=CONNECT-1368027980-163</Url>
      <Description>CONNECT-1368027980-163</Description>
    </_dlc_DocIdUrl>
    <No_x002e_ xmlns="5e7874b7-19b8-4222-9f87-80bf0b085ea3">SP06R</No_x002e_>
    <Let_x0020_Date xmlns="5e7874b7-19b8-4222-9f87-80bf0b085ea3">2018-01</Let_x0020_Date>
    <Provision xmlns="5e7874b7-19b8-4222-9f87-80bf0b085ea3">ASPHALT SURFACE TREATMENT AGGREGATE TYPE AND APPLICATION RATES</Provision>
    <File_x0020_Category xmlns="5e7874b7-19b8-4222-9f87-80bf0b085ea3"/>
    <Provision_x0020_Number xmlns="5e7874b7-19b8-4222-9f87-80bf0b085ea3">SP06 R054</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CF71B-0F78-4B1C-9C2E-F5CC822A2E8C}"/>
</file>

<file path=customXml/itemProps2.xml><?xml version="1.0" encoding="utf-8"?>
<ds:datastoreItem xmlns:ds="http://schemas.openxmlformats.org/officeDocument/2006/customXml" ds:itemID="{8F7B3CE4-B481-43BA-B3CA-2F17666389DE}"/>
</file>

<file path=customXml/itemProps3.xml><?xml version="1.0" encoding="utf-8"?>
<ds:datastoreItem xmlns:ds="http://schemas.openxmlformats.org/officeDocument/2006/customXml" ds:itemID="{9F1C10B1-1DC1-4393-B627-A0B33CC9C641}"/>
</file>

<file path=customXml/itemProps4.xml><?xml version="1.0" encoding="utf-8"?>
<ds:datastoreItem xmlns:ds="http://schemas.openxmlformats.org/officeDocument/2006/customXml" ds:itemID="{FECD13DE-455E-4AC4-B187-F66B8694DE91}"/>
</file>

<file path=customXml/itemProps5.xml><?xml version="1.0" encoding="utf-8"?>
<ds:datastoreItem xmlns:ds="http://schemas.openxmlformats.org/officeDocument/2006/customXml" ds:itemID="{2776B7AA-457B-4DEF-867A-D5F747CB3EE7}"/>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Natalie Roskam</dc:creator>
  <cp:lastModifiedBy>Canales, Theresa A</cp:lastModifiedBy>
  <cp:revision>2</cp:revision>
  <cp:lastPrinted>2017-03-27T18:13:00Z</cp:lastPrinted>
  <dcterms:created xsi:type="dcterms:W3CDTF">2017-10-13T13:07:00Z</dcterms:created>
  <dcterms:modified xsi:type="dcterms:W3CDTF">2017-10-13T13:07:00Z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a02d00d8-1855-4213-85a5-d2169aef99f8</vt:lpwstr>
  </property>
  <property fmtid="{D5CDD505-2E9C-101B-9397-08002B2CF9AE}" pid="4" name="URL">
    <vt:lpwstr>, </vt:lpwstr>
  </property>
  <property fmtid="{D5CDD505-2E9C-101B-9397-08002B2CF9AE}" pid="5" name="Order">
    <vt:r8>13300</vt:r8>
  </property>
</Properties>
</file>