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727" w:rsidRPr="008255E8" w:rsidRDefault="00153691" w:rsidP="00920A5A">
      <w:pPr>
        <w:keepNext/>
        <w:keepLines/>
        <w:rPr>
          <w:b/>
          <w:u w:val="single"/>
        </w:rPr>
      </w:pPr>
      <w:bookmarkStart w:id="0" w:name="_GoBack"/>
      <w:bookmarkEnd w:id="0"/>
      <w:r>
        <w:rPr>
          <w:b/>
          <w:szCs w:val="24"/>
          <w:u w:val="single"/>
        </w:rPr>
        <w:t>OPEN-GRADED ASPHALT FRICTION COURSE</w:t>
      </w:r>
      <w:r w:rsidR="00300473" w:rsidRPr="00F768B5">
        <w:rPr>
          <w:b/>
          <w:szCs w:val="24"/>
        </w:rPr>
        <w:t>:</w:t>
      </w:r>
    </w:p>
    <w:tbl>
      <w:tblPr>
        <w:tblW w:w="0" w:type="auto"/>
        <w:tblLayout w:type="fixed"/>
        <w:tblLook w:val="0000" w:firstRow="0" w:lastRow="0" w:firstColumn="0" w:lastColumn="0" w:noHBand="0" w:noVBand="0"/>
      </w:tblPr>
      <w:tblGrid>
        <w:gridCol w:w="3192"/>
        <w:gridCol w:w="3192"/>
        <w:gridCol w:w="3192"/>
      </w:tblGrid>
      <w:tr w:rsidR="00A2147E" w:rsidRPr="004F1661" w:rsidTr="00A01B0F">
        <w:tc>
          <w:tcPr>
            <w:tcW w:w="3192" w:type="dxa"/>
          </w:tcPr>
          <w:p w:rsidR="00A2147E" w:rsidRPr="004F1661" w:rsidRDefault="00A2147E" w:rsidP="00153691">
            <w:pPr>
              <w:keepNext/>
              <w:keepLines/>
              <w:jc w:val="both"/>
              <w:rPr>
                <w:sz w:val="16"/>
              </w:rPr>
            </w:pPr>
            <w:r w:rsidRPr="004F1661">
              <w:rPr>
                <w:sz w:val="16"/>
              </w:rPr>
              <w:t>(</w:t>
            </w:r>
            <w:r w:rsidR="00153691">
              <w:rPr>
                <w:sz w:val="16"/>
              </w:rPr>
              <w:t>08</w:t>
            </w:r>
            <w:r w:rsidR="00B96454">
              <w:rPr>
                <w:sz w:val="16"/>
              </w:rPr>
              <w:t>-</w:t>
            </w:r>
            <w:r w:rsidR="00153691">
              <w:rPr>
                <w:sz w:val="16"/>
              </w:rPr>
              <w:t>15</w:t>
            </w:r>
            <w:r w:rsidR="006B2F03">
              <w:rPr>
                <w:sz w:val="16"/>
              </w:rPr>
              <w:t>-1</w:t>
            </w:r>
            <w:r w:rsidR="00153691">
              <w:rPr>
                <w:sz w:val="16"/>
              </w:rPr>
              <w:t>7</w:t>
            </w:r>
            <w:r w:rsidR="00D71E58" w:rsidRPr="0008583D">
              <w:rPr>
                <w:sz w:val="16"/>
              </w:rPr>
              <w:t>)</w:t>
            </w:r>
          </w:p>
        </w:tc>
        <w:tc>
          <w:tcPr>
            <w:tcW w:w="3192" w:type="dxa"/>
          </w:tcPr>
          <w:p w:rsidR="00A2147E" w:rsidRPr="004F1661" w:rsidRDefault="00153691" w:rsidP="00300473">
            <w:pPr>
              <w:keepNext/>
              <w:keepLines/>
              <w:jc w:val="center"/>
              <w:rPr>
                <w:sz w:val="16"/>
              </w:rPr>
            </w:pPr>
            <w:r>
              <w:rPr>
                <w:sz w:val="16"/>
              </w:rPr>
              <w:t>650</w:t>
            </w:r>
          </w:p>
        </w:tc>
        <w:tc>
          <w:tcPr>
            <w:tcW w:w="3192" w:type="dxa"/>
          </w:tcPr>
          <w:p w:rsidR="00A2147E" w:rsidRPr="004F1661" w:rsidRDefault="00C13A91" w:rsidP="00153691">
            <w:pPr>
              <w:keepNext/>
              <w:keepLines/>
              <w:jc w:val="right"/>
              <w:rPr>
                <w:sz w:val="16"/>
              </w:rPr>
            </w:pPr>
            <w:r>
              <w:rPr>
                <w:sz w:val="16"/>
              </w:rPr>
              <w:t>SP</w:t>
            </w:r>
            <w:r w:rsidR="00153691">
              <w:rPr>
                <w:sz w:val="16"/>
              </w:rPr>
              <w:t>6</w:t>
            </w:r>
            <w:r>
              <w:rPr>
                <w:sz w:val="16"/>
              </w:rPr>
              <w:t xml:space="preserve"> R</w:t>
            </w:r>
            <w:r w:rsidR="00153691">
              <w:rPr>
                <w:sz w:val="16"/>
              </w:rPr>
              <w:t>65</w:t>
            </w:r>
          </w:p>
        </w:tc>
      </w:tr>
    </w:tbl>
    <w:p w:rsidR="00A2147E" w:rsidRPr="004F1661" w:rsidRDefault="00A2147E" w:rsidP="00920A5A">
      <w:pPr>
        <w:keepNext/>
        <w:keepLines/>
        <w:jc w:val="both"/>
        <w:rPr>
          <w:sz w:val="16"/>
        </w:rPr>
      </w:pPr>
    </w:p>
    <w:p w:rsidR="003A1503" w:rsidRPr="00B66ACC" w:rsidRDefault="003A1503" w:rsidP="00920A5A">
      <w:pPr>
        <w:keepNext/>
        <w:keepLines/>
        <w:jc w:val="both"/>
        <w:rPr>
          <w:szCs w:val="24"/>
        </w:rPr>
      </w:pPr>
      <w:r w:rsidRPr="00B66ACC">
        <w:rPr>
          <w:szCs w:val="24"/>
        </w:rPr>
        <w:t xml:space="preserve">Revise the </w:t>
      </w:r>
      <w:r w:rsidR="00676373">
        <w:rPr>
          <w:i/>
        </w:rPr>
        <w:t>2012</w:t>
      </w:r>
      <w:r w:rsidR="00676373">
        <w:t> </w:t>
      </w:r>
      <w:r w:rsidRPr="00B66ACC">
        <w:rPr>
          <w:i/>
          <w:szCs w:val="24"/>
        </w:rPr>
        <w:t>Standard Specifications</w:t>
      </w:r>
      <w:r w:rsidRPr="00B66ACC">
        <w:rPr>
          <w:szCs w:val="24"/>
        </w:rPr>
        <w:t xml:space="preserve"> as follows:</w:t>
      </w:r>
    </w:p>
    <w:p w:rsidR="003A1503" w:rsidRDefault="003A1503" w:rsidP="00B96454">
      <w:pPr>
        <w:keepNext/>
        <w:keepLines/>
        <w:jc w:val="both"/>
        <w:rPr>
          <w:szCs w:val="24"/>
        </w:rPr>
      </w:pPr>
    </w:p>
    <w:p w:rsidR="00153691" w:rsidRDefault="00153691" w:rsidP="00B96454">
      <w:pPr>
        <w:keepNext/>
        <w:keepLines/>
        <w:jc w:val="both"/>
        <w:rPr>
          <w:szCs w:val="24"/>
        </w:rPr>
      </w:pPr>
      <w:r>
        <w:rPr>
          <w:b/>
          <w:szCs w:val="24"/>
        </w:rPr>
        <w:t>Page 6-40, Article 650-2</w:t>
      </w:r>
      <w:r w:rsidR="00DB6D44">
        <w:rPr>
          <w:b/>
          <w:szCs w:val="24"/>
        </w:rPr>
        <w:t>,</w:t>
      </w:r>
      <w:r>
        <w:rPr>
          <w:b/>
          <w:szCs w:val="24"/>
        </w:rPr>
        <w:t xml:space="preserve"> MATERIALS</w:t>
      </w:r>
      <w:r w:rsidR="00234B3B">
        <w:rPr>
          <w:b/>
          <w:szCs w:val="24"/>
        </w:rPr>
        <w:t>, line 16</w:t>
      </w:r>
      <w:r w:rsidR="00DB6D44">
        <w:rPr>
          <w:b/>
          <w:szCs w:val="24"/>
        </w:rPr>
        <w:t xml:space="preserve">, </w:t>
      </w:r>
      <w:r w:rsidR="00DB6D44">
        <w:rPr>
          <w:szCs w:val="24"/>
        </w:rPr>
        <w:t>replace “Asphalt Binder, Grade PG 64-22, PG 76-22” with the following item reference:</w:t>
      </w:r>
    </w:p>
    <w:p w:rsidR="00DB6D44" w:rsidRDefault="00DB6D44" w:rsidP="00B96454">
      <w:pPr>
        <w:keepNext/>
        <w:keepLines/>
        <w:jc w:val="both"/>
        <w:rPr>
          <w:szCs w:val="24"/>
        </w:rPr>
      </w:pPr>
    </w:p>
    <w:p w:rsidR="00DB6D44" w:rsidRPr="00DB6D44" w:rsidRDefault="00DB6D44" w:rsidP="00B96454">
      <w:pPr>
        <w:keepNext/>
        <w:keepLines/>
        <w:jc w:val="both"/>
        <w:rPr>
          <w:b/>
          <w:szCs w:val="24"/>
        </w:rPr>
      </w:pPr>
      <w:r w:rsidRPr="00DB6D44">
        <w:rPr>
          <w:b/>
          <w:szCs w:val="24"/>
        </w:rPr>
        <w:t>Item</w:t>
      </w:r>
      <w:r w:rsidRPr="00DB6D44">
        <w:rPr>
          <w:b/>
          <w:szCs w:val="24"/>
        </w:rPr>
        <w:tab/>
      </w:r>
      <w:r w:rsidRPr="00DB6D44">
        <w:rPr>
          <w:b/>
          <w:szCs w:val="24"/>
        </w:rPr>
        <w:tab/>
      </w:r>
      <w:r w:rsidRPr="00DB6D44">
        <w:rPr>
          <w:b/>
          <w:szCs w:val="24"/>
        </w:rPr>
        <w:tab/>
      </w:r>
      <w:r w:rsidRPr="00DB6D44">
        <w:rPr>
          <w:b/>
          <w:szCs w:val="24"/>
        </w:rPr>
        <w:tab/>
      </w:r>
      <w:r>
        <w:rPr>
          <w:b/>
          <w:szCs w:val="24"/>
        </w:rPr>
        <w:tab/>
      </w:r>
      <w:r>
        <w:rPr>
          <w:b/>
          <w:szCs w:val="24"/>
        </w:rPr>
        <w:tab/>
      </w:r>
    </w:p>
    <w:p w:rsidR="00153691" w:rsidRDefault="00DB6D44" w:rsidP="00B96454">
      <w:pPr>
        <w:keepNext/>
        <w:keepLines/>
        <w:jc w:val="both"/>
        <w:rPr>
          <w:szCs w:val="24"/>
        </w:rPr>
      </w:pPr>
      <w:r>
        <w:rPr>
          <w:szCs w:val="24"/>
        </w:rPr>
        <w:t>Asphalt Binder, Performance Grade</w:t>
      </w:r>
    </w:p>
    <w:p w:rsidR="00DB6D44" w:rsidRDefault="00DB6D44" w:rsidP="00B96454">
      <w:pPr>
        <w:keepNext/>
        <w:keepLines/>
        <w:jc w:val="both"/>
        <w:rPr>
          <w:szCs w:val="24"/>
        </w:rPr>
      </w:pPr>
    </w:p>
    <w:p w:rsidR="00DB6D44" w:rsidRDefault="00DB6D44" w:rsidP="00B96454">
      <w:pPr>
        <w:keepNext/>
        <w:keepLines/>
        <w:jc w:val="both"/>
        <w:rPr>
          <w:szCs w:val="24"/>
        </w:rPr>
      </w:pPr>
      <w:r w:rsidRPr="00DB6D44">
        <w:rPr>
          <w:b/>
          <w:szCs w:val="24"/>
        </w:rPr>
        <w:t xml:space="preserve">Page 6-40, </w:t>
      </w:r>
      <w:r>
        <w:rPr>
          <w:b/>
          <w:szCs w:val="24"/>
        </w:rPr>
        <w:t>Suba</w:t>
      </w:r>
      <w:r w:rsidRPr="00DB6D44">
        <w:rPr>
          <w:b/>
          <w:szCs w:val="24"/>
        </w:rPr>
        <w:t>rticle 650-3</w:t>
      </w:r>
      <w:r>
        <w:rPr>
          <w:b/>
          <w:szCs w:val="24"/>
        </w:rPr>
        <w:t xml:space="preserve">(A), General, lines 22-29, </w:t>
      </w:r>
      <w:r>
        <w:rPr>
          <w:szCs w:val="24"/>
        </w:rPr>
        <w:t xml:space="preserve">replace the second paragraph with the following: </w:t>
      </w:r>
    </w:p>
    <w:p w:rsidR="00DB6D44" w:rsidRDefault="00DB6D44" w:rsidP="00B96454">
      <w:pPr>
        <w:keepNext/>
        <w:keepLines/>
        <w:jc w:val="both"/>
        <w:rPr>
          <w:szCs w:val="24"/>
        </w:rPr>
      </w:pPr>
    </w:p>
    <w:p w:rsidR="00DB6D44" w:rsidRDefault="00DB6D44" w:rsidP="00DB6D44">
      <w:pPr>
        <w:jc w:val="both"/>
      </w:pPr>
      <w:r w:rsidRPr="00FB38B9">
        <w:t xml:space="preserve">At least 20 days before start of asphalt mix production, submit the mix design and proposed JMF targets for each required mix type and combination of aggregates to the Engineer for review and approval. The mix design shall be prepared by a mix design technician approved by the Department in an approved mix design laboratory.  Perform the mix design in accordance with Article 610-3 and the Department’s mix design procedures.  Copies of these procedures can be obtained through the Materials and Tests Unit.  </w:t>
      </w:r>
    </w:p>
    <w:p w:rsidR="00DB6D44" w:rsidRDefault="00DB6D44" w:rsidP="00DB6D44">
      <w:pPr>
        <w:jc w:val="both"/>
      </w:pPr>
    </w:p>
    <w:p w:rsidR="00DB6D44" w:rsidRDefault="00DB6D44" w:rsidP="00DB6D44">
      <w:pPr>
        <w:jc w:val="both"/>
        <w:rPr>
          <w:szCs w:val="24"/>
        </w:rPr>
      </w:pPr>
      <w:r w:rsidRPr="00DB6D44">
        <w:rPr>
          <w:b/>
          <w:szCs w:val="24"/>
        </w:rPr>
        <w:t xml:space="preserve">Page 6-40, </w:t>
      </w:r>
      <w:r>
        <w:rPr>
          <w:b/>
          <w:szCs w:val="24"/>
        </w:rPr>
        <w:t>Suba</w:t>
      </w:r>
      <w:r w:rsidRPr="00DB6D44">
        <w:rPr>
          <w:b/>
          <w:szCs w:val="24"/>
        </w:rPr>
        <w:t>rticle 650-3</w:t>
      </w:r>
      <w:r>
        <w:rPr>
          <w:b/>
          <w:szCs w:val="24"/>
        </w:rPr>
        <w:t xml:space="preserve">(A), General, lines 31-37, </w:t>
      </w:r>
      <w:r>
        <w:rPr>
          <w:szCs w:val="24"/>
        </w:rPr>
        <w:t xml:space="preserve">delete the second sentence of the third paragraph. </w:t>
      </w:r>
    </w:p>
    <w:p w:rsidR="00DB6D44" w:rsidRDefault="00DB6D44" w:rsidP="00DB6D44">
      <w:pPr>
        <w:jc w:val="both"/>
        <w:rPr>
          <w:szCs w:val="24"/>
        </w:rPr>
      </w:pPr>
    </w:p>
    <w:p w:rsidR="00DB6D44" w:rsidRDefault="00DB6D44" w:rsidP="00DB6D44">
      <w:pPr>
        <w:jc w:val="both"/>
        <w:rPr>
          <w:szCs w:val="24"/>
        </w:rPr>
      </w:pPr>
      <w:r w:rsidRPr="00DB6D44">
        <w:rPr>
          <w:b/>
          <w:szCs w:val="24"/>
        </w:rPr>
        <w:t xml:space="preserve">Page 6-40, </w:t>
      </w:r>
      <w:r>
        <w:rPr>
          <w:b/>
          <w:szCs w:val="24"/>
        </w:rPr>
        <w:t>Suba</w:t>
      </w:r>
      <w:r w:rsidRPr="00DB6D44">
        <w:rPr>
          <w:b/>
          <w:szCs w:val="24"/>
        </w:rPr>
        <w:t>rticle 650-3</w:t>
      </w:r>
      <w:r>
        <w:rPr>
          <w:b/>
          <w:szCs w:val="24"/>
        </w:rPr>
        <w:t xml:space="preserve">(A), General, lines 38-39, </w:t>
      </w:r>
      <w:r>
        <w:rPr>
          <w:szCs w:val="24"/>
        </w:rPr>
        <w:t xml:space="preserve">delete the fourth paragraph. </w:t>
      </w:r>
    </w:p>
    <w:p w:rsidR="0047478F" w:rsidRDefault="0047478F" w:rsidP="00DB6D44">
      <w:pPr>
        <w:jc w:val="both"/>
        <w:rPr>
          <w:szCs w:val="24"/>
        </w:rPr>
      </w:pPr>
    </w:p>
    <w:p w:rsidR="009A6A7D" w:rsidRDefault="009A6A7D" w:rsidP="009A6A7D">
      <w:pPr>
        <w:jc w:val="both"/>
        <w:rPr>
          <w:szCs w:val="24"/>
        </w:rPr>
      </w:pPr>
      <w:r w:rsidRPr="00DB6D44">
        <w:rPr>
          <w:b/>
          <w:szCs w:val="24"/>
        </w:rPr>
        <w:t>Page 6-4</w:t>
      </w:r>
      <w:r>
        <w:rPr>
          <w:b/>
          <w:szCs w:val="24"/>
        </w:rPr>
        <w:t>1</w:t>
      </w:r>
      <w:r w:rsidRPr="00DB6D44">
        <w:rPr>
          <w:b/>
          <w:szCs w:val="24"/>
        </w:rPr>
        <w:t xml:space="preserve">, </w:t>
      </w:r>
      <w:r>
        <w:rPr>
          <w:b/>
          <w:szCs w:val="24"/>
        </w:rPr>
        <w:t>Suba</w:t>
      </w:r>
      <w:r w:rsidRPr="00DB6D44">
        <w:rPr>
          <w:b/>
          <w:szCs w:val="24"/>
        </w:rPr>
        <w:t>rticle 650-3</w:t>
      </w:r>
      <w:r>
        <w:rPr>
          <w:b/>
          <w:szCs w:val="24"/>
        </w:rPr>
        <w:t xml:space="preserve">(A), General, lines 1-7, </w:t>
      </w:r>
      <w:r>
        <w:rPr>
          <w:szCs w:val="24"/>
        </w:rPr>
        <w:t xml:space="preserve">delete the fifth, sixth and seventh paragraphs. </w:t>
      </w:r>
    </w:p>
    <w:p w:rsidR="0047478F" w:rsidRPr="00DB6D44" w:rsidRDefault="0047478F" w:rsidP="00DB6D44">
      <w:pPr>
        <w:jc w:val="both"/>
      </w:pPr>
    </w:p>
    <w:p w:rsidR="00DB6D44" w:rsidRDefault="009A6A7D" w:rsidP="00B96454">
      <w:pPr>
        <w:keepNext/>
        <w:keepLines/>
        <w:jc w:val="both"/>
        <w:rPr>
          <w:szCs w:val="24"/>
        </w:rPr>
      </w:pPr>
      <w:r w:rsidRPr="00DB6D44">
        <w:rPr>
          <w:b/>
          <w:szCs w:val="24"/>
        </w:rPr>
        <w:t>Page 6-4</w:t>
      </w:r>
      <w:r>
        <w:rPr>
          <w:b/>
          <w:szCs w:val="24"/>
        </w:rPr>
        <w:t>1</w:t>
      </w:r>
      <w:r w:rsidRPr="00DB6D44">
        <w:rPr>
          <w:b/>
          <w:szCs w:val="24"/>
        </w:rPr>
        <w:t xml:space="preserve">, </w:t>
      </w:r>
      <w:r>
        <w:rPr>
          <w:b/>
          <w:szCs w:val="24"/>
        </w:rPr>
        <w:t>Suba</w:t>
      </w:r>
      <w:r w:rsidRPr="00DB6D44">
        <w:rPr>
          <w:b/>
          <w:szCs w:val="24"/>
        </w:rPr>
        <w:t>rticle 650-</w:t>
      </w:r>
      <w:r>
        <w:rPr>
          <w:b/>
          <w:szCs w:val="24"/>
        </w:rPr>
        <w:t>3(B), Mix Design Criteria, line 17</w:t>
      </w:r>
      <w:r>
        <w:rPr>
          <w:szCs w:val="24"/>
        </w:rPr>
        <w:t>, add the following at the end of the third paragraph:</w:t>
      </w:r>
    </w:p>
    <w:p w:rsidR="009A6A7D" w:rsidRDefault="009A6A7D" w:rsidP="00B96454">
      <w:pPr>
        <w:keepNext/>
        <w:keepLines/>
        <w:jc w:val="both"/>
        <w:rPr>
          <w:szCs w:val="24"/>
        </w:rPr>
      </w:pPr>
    </w:p>
    <w:p w:rsidR="009A6A7D" w:rsidRDefault="009A6A7D" w:rsidP="00B96454">
      <w:pPr>
        <w:keepNext/>
        <w:keepLines/>
        <w:jc w:val="both"/>
        <w:rPr>
          <w:szCs w:val="24"/>
        </w:rPr>
      </w:pPr>
      <w:r>
        <w:rPr>
          <w:szCs w:val="24"/>
        </w:rPr>
        <w:t>Add the anti-strip additive to the asphalt binder in accordance with Article 620-3.</w:t>
      </w:r>
    </w:p>
    <w:p w:rsidR="009A6A7D" w:rsidRDefault="009A6A7D" w:rsidP="00B96454">
      <w:pPr>
        <w:keepNext/>
        <w:keepLines/>
        <w:jc w:val="both"/>
        <w:rPr>
          <w:szCs w:val="24"/>
        </w:rPr>
      </w:pPr>
    </w:p>
    <w:p w:rsidR="009A6A7D" w:rsidRDefault="009A6A7D" w:rsidP="00B96454">
      <w:pPr>
        <w:keepNext/>
        <w:keepLines/>
        <w:jc w:val="both"/>
        <w:rPr>
          <w:szCs w:val="24"/>
        </w:rPr>
      </w:pPr>
      <w:r w:rsidRPr="00DB6D44">
        <w:rPr>
          <w:b/>
          <w:szCs w:val="24"/>
        </w:rPr>
        <w:t>Page 6-4</w:t>
      </w:r>
      <w:r>
        <w:rPr>
          <w:b/>
          <w:szCs w:val="24"/>
        </w:rPr>
        <w:t>1</w:t>
      </w:r>
      <w:r w:rsidRPr="00DB6D44">
        <w:rPr>
          <w:b/>
          <w:szCs w:val="24"/>
        </w:rPr>
        <w:t xml:space="preserve">, </w:t>
      </w:r>
      <w:r>
        <w:rPr>
          <w:b/>
          <w:szCs w:val="24"/>
        </w:rPr>
        <w:t>Suba</w:t>
      </w:r>
      <w:r w:rsidRPr="00DB6D44">
        <w:rPr>
          <w:b/>
          <w:szCs w:val="24"/>
        </w:rPr>
        <w:t>rticle 650-</w:t>
      </w:r>
      <w:r>
        <w:rPr>
          <w:b/>
          <w:szCs w:val="24"/>
        </w:rPr>
        <w:t xml:space="preserve">3(B), Mix Design Criteria, lines 20-32, </w:t>
      </w:r>
      <w:r>
        <w:rPr>
          <w:szCs w:val="24"/>
        </w:rPr>
        <w:t xml:space="preserve">replace with the following: </w:t>
      </w:r>
    </w:p>
    <w:p w:rsidR="009A6A7D" w:rsidRDefault="009A6A7D" w:rsidP="00B96454">
      <w:pPr>
        <w:keepNext/>
        <w:keepLines/>
        <w:jc w:val="both"/>
        <w:rPr>
          <w:szCs w:val="24"/>
        </w:rPr>
      </w:pPr>
    </w:p>
    <w:p w:rsidR="009A6A7D" w:rsidRPr="00FB38B9" w:rsidRDefault="009A6A7D" w:rsidP="009A6A7D">
      <w:pPr>
        <w:jc w:val="both"/>
      </w:pPr>
      <w:r w:rsidRPr="00FB38B9">
        <w:t xml:space="preserve">In addition to the required mix design submittal, the Contractor will prepare and deliver gyratory compactor specimens to the Department’s Central Asphalt Laboratory for </w:t>
      </w:r>
      <w:proofErr w:type="spellStart"/>
      <w:r w:rsidRPr="00FB38B9">
        <w:t>Cantabro</w:t>
      </w:r>
      <w:proofErr w:type="spellEnd"/>
      <w:r w:rsidRPr="00FB38B9">
        <w:t xml:space="preserve"> durability testing. The Contractor will prepare these specimens using lab produced mix in accordance with NCDOT procedures.  Provide the samples at least 20 days before the anticipated beginning placement of OGFC mixture.</w:t>
      </w:r>
    </w:p>
    <w:p w:rsidR="001F4734" w:rsidRDefault="001F4734" w:rsidP="009A6A7D">
      <w:pPr>
        <w:keepNext/>
        <w:keepLines/>
        <w:jc w:val="both"/>
        <w:rPr>
          <w:szCs w:val="24"/>
        </w:rPr>
      </w:pPr>
      <w:r w:rsidRPr="001F4734">
        <w:rPr>
          <w:b/>
          <w:szCs w:val="24"/>
        </w:rPr>
        <w:lastRenderedPageBreak/>
        <w:t xml:space="preserve">Page 6-41, </w:t>
      </w:r>
      <w:r>
        <w:rPr>
          <w:b/>
          <w:szCs w:val="24"/>
        </w:rPr>
        <w:t xml:space="preserve">Table 650-1, OGAFC GRADATION CRITERIA, </w:t>
      </w:r>
      <w:r>
        <w:rPr>
          <w:szCs w:val="24"/>
        </w:rPr>
        <w:t>replace with the following:</w:t>
      </w:r>
    </w:p>
    <w:p w:rsidR="001F4734" w:rsidRDefault="001F4734" w:rsidP="009A6A7D">
      <w:pPr>
        <w:keepNext/>
        <w:keepLines/>
        <w:jc w:val="both"/>
        <w:rPr>
          <w:szCs w:val="24"/>
        </w:rPr>
      </w:pPr>
    </w:p>
    <w:tbl>
      <w:tblPr>
        <w:tblW w:w="4664" w:type="pct"/>
        <w:jc w:val="center"/>
        <w:tblCellMar>
          <w:left w:w="0" w:type="dxa"/>
          <w:right w:w="0" w:type="dxa"/>
        </w:tblCellMar>
        <w:tblLook w:val="04A0" w:firstRow="1" w:lastRow="0" w:firstColumn="1" w:lastColumn="0" w:noHBand="0" w:noVBand="1"/>
      </w:tblPr>
      <w:tblGrid>
        <w:gridCol w:w="4680"/>
        <w:gridCol w:w="4032"/>
      </w:tblGrid>
      <w:tr w:rsidR="001F4734" w:rsidRPr="00FB38B9" w:rsidTr="003445B0">
        <w:trPr>
          <w:jc w:val="center"/>
        </w:trPr>
        <w:tc>
          <w:tcPr>
            <w:tcW w:w="5000" w:type="pct"/>
            <w:gridSpan w:val="2"/>
            <w:tcBorders>
              <w:top w:val="single" w:sz="8" w:space="0" w:color="C0C0C0"/>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b/>
                <w:bCs/>
              </w:rPr>
              <w:t xml:space="preserve">TABLE </w:t>
            </w:r>
            <w:r w:rsidRPr="00FB38B9">
              <w:rPr>
                <w:rFonts w:eastAsia="Calibri"/>
                <w:b/>
                <w:bCs/>
                <w:snapToGrid w:val="0"/>
              </w:rPr>
              <w:t>650-1</w:t>
            </w:r>
            <w:r w:rsidRPr="00FB38B9">
              <w:rPr>
                <w:rFonts w:eastAsia="Calibri"/>
                <w:b/>
                <w:bCs/>
                <w:snapToGrid w:val="0"/>
              </w:rPr>
              <w:br/>
            </w:r>
            <w:r w:rsidRPr="00FB38B9">
              <w:rPr>
                <w:rFonts w:eastAsia="Calibri"/>
                <w:b/>
                <w:bCs/>
              </w:rPr>
              <w:t>OGFC DESIGN CRITERIA</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b/>
                <w:bCs/>
              </w:rPr>
              <w:t>Grading Requirements</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b/>
                <w:bCs/>
              </w:rPr>
              <w:t>Total Percent Passing</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43" w:type="dxa"/>
              <w:bottom w:w="0" w:type="dxa"/>
              <w:right w:w="43"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i/>
                <w:iCs/>
              </w:rPr>
              <w:t>Sieve Size (mm)</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i/>
                <w:iCs/>
              </w:rPr>
              <w:t>Type FC-1 Modified</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19.0</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12.5</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100</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9.50</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75 - 100</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4.75</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25 - 45</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2.36</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5 - 15</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0.075</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1.0 - 3.0</w:t>
            </w:r>
          </w:p>
        </w:tc>
      </w:tr>
      <w:tr w:rsidR="001F4734" w:rsidRPr="00FB38B9" w:rsidTr="00B974CE">
        <w:trPr>
          <w:trHeight w:val="178"/>
          <w:jc w:val="center"/>
        </w:trPr>
        <w:tc>
          <w:tcPr>
            <w:tcW w:w="5000" w:type="pct"/>
            <w:gridSpan w:val="2"/>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tcPr>
          <w:p w:rsidR="001F4734" w:rsidRPr="00FB38B9" w:rsidRDefault="001F4734" w:rsidP="003445B0">
            <w:pPr>
              <w:keepNext/>
              <w:jc w:val="center"/>
              <w:rPr>
                <w:rFonts w:ascii="Calibri" w:eastAsia="Calibri" w:hAnsi="Calibri" w:cs="Calibri"/>
                <w:sz w:val="22"/>
                <w:szCs w:val="22"/>
              </w:rPr>
            </w:pP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Asphalt Binder Grade</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PG 76-22</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Binder Content, %</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5.5 - 8.0</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 xml:space="preserve">Mixing Temperature at the Asphalt </w:t>
            </w:r>
            <w:proofErr w:type="spellStart"/>
            <w:r w:rsidRPr="00FB38B9">
              <w:rPr>
                <w:rFonts w:eastAsia="Calibri"/>
              </w:rPr>
              <w:t>Plant</w:t>
            </w:r>
            <w:r w:rsidRPr="00FB38B9">
              <w:rPr>
                <w:rFonts w:eastAsia="Calibri"/>
                <w:b/>
                <w:bCs/>
                <w:vertAlign w:val="superscript"/>
              </w:rPr>
              <w:t>A</w:t>
            </w:r>
            <w:proofErr w:type="spellEnd"/>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300 – 325°F</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Air Voids, % minimum</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18.0</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proofErr w:type="spellStart"/>
            <w:r w:rsidRPr="00FB38B9">
              <w:rPr>
                <w:rFonts w:eastAsia="Calibri"/>
              </w:rPr>
              <w:t>Cantabro</w:t>
            </w:r>
            <w:proofErr w:type="spellEnd"/>
            <w:r w:rsidRPr="00FB38B9">
              <w:rPr>
                <w:rFonts w:eastAsia="Calibri"/>
              </w:rPr>
              <w:t xml:space="preserve"> Loss, % maximum</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ascii="Calibri" w:eastAsia="Calibri" w:hAnsi="Calibri" w:cs="Calibri"/>
                <w:sz w:val="22"/>
                <w:szCs w:val="22"/>
              </w:rPr>
            </w:pPr>
            <w:r w:rsidRPr="00FB38B9">
              <w:rPr>
                <w:rFonts w:eastAsia="Calibri"/>
              </w:rPr>
              <w:t>20.0</w:t>
            </w:r>
          </w:p>
        </w:tc>
      </w:tr>
      <w:tr w:rsidR="001F4734" w:rsidRPr="00FB38B9" w:rsidTr="003445B0">
        <w:trPr>
          <w:jc w:val="center"/>
        </w:trPr>
        <w:tc>
          <w:tcPr>
            <w:tcW w:w="2686" w:type="pct"/>
            <w:tcBorders>
              <w:top w:val="nil"/>
              <w:left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eastAsia="Calibri"/>
                <w:sz w:val="22"/>
                <w:szCs w:val="22"/>
              </w:rPr>
            </w:pPr>
            <w:proofErr w:type="spellStart"/>
            <w:r w:rsidRPr="00FB38B9">
              <w:rPr>
                <w:rFonts w:eastAsia="Calibri"/>
              </w:rPr>
              <w:t>Draindown</w:t>
            </w:r>
            <w:proofErr w:type="spellEnd"/>
            <w:r w:rsidRPr="00FB38B9">
              <w:rPr>
                <w:rFonts w:eastAsia="Calibri"/>
              </w:rPr>
              <w:t>, % maximum</w:t>
            </w:r>
          </w:p>
        </w:tc>
        <w:tc>
          <w:tcPr>
            <w:tcW w:w="2314" w:type="pct"/>
            <w:tcBorders>
              <w:top w:val="nil"/>
              <w:left w:val="nil"/>
              <w:bottom w:val="single" w:sz="8" w:space="0" w:color="C0C0C0"/>
              <w:right w:val="single" w:sz="8" w:space="0" w:color="C0C0C0"/>
            </w:tcBorders>
            <w:tcMar>
              <w:top w:w="0" w:type="dxa"/>
              <w:left w:w="108" w:type="dxa"/>
              <w:bottom w:w="0" w:type="dxa"/>
              <w:right w:w="108" w:type="dxa"/>
            </w:tcMar>
            <w:vAlign w:val="center"/>
            <w:hideMark/>
          </w:tcPr>
          <w:p w:rsidR="001F4734" w:rsidRPr="00FB38B9" w:rsidRDefault="001F4734" w:rsidP="003445B0">
            <w:pPr>
              <w:keepNext/>
              <w:jc w:val="center"/>
              <w:rPr>
                <w:rFonts w:eastAsia="Calibri"/>
                <w:sz w:val="22"/>
                <w:szCs w:val="22"/>
              </w:rPr>
            </w:pPr>
            <w:r w:rsidRPr="00FB38B9">
              <w:rPr>
                <w:rFonts w:eastAsia="Calibri"/>
              </w:rPr>
              <w:t>0.3</w:t>
            </w:r>
          </w:p>
        </w:tc>
      </w:tr>
    </w:tbl>
    <w:p w:rsidR="001F4734" w:rsidRDefault="001F4734" w:rsidP="009A6A7D">
      <w:pPr>
        <w:keepNext/>
        <w:keepLines/>
        <w:jc w:val="both"/>
        <w:rPr>
          <w:szCs w:val="24"/>
        </w:rPr>
      </w:pPr>
    </w:p>
    <w:p w:rsidR="00D80443" w:rsidRDefault="00D80443" w:rsidP="009A6A7D">
      <w:pPr>
        <w:keepNext/>
        <w:keepLines/>
        <w:jc w:val="both"/>
        <w:rPr>
          <w:szCs w:val="24"/>
        </w:rPr>
      </w:pPr>
      <w:r w:rsidRPr="00D80443">
        <w:rPr>
          <w:b/>
          <w:szCs w:val="24"/>
        </w:rPr>
        <w:t>Page 6-42, Table 650-2, OGAFC MIX DESIGN CRITERIA</w:t>
      </w:r>
      <w:r>
        <w:rPr>
          <w:b/>
          <w:szCs w:val="24"/>
        </w:rPr>
        <w:t xml:space="preserve">, </w:t>
      </w:r>
      <w:r>
        <w:rPr>
          <w:szCs w:val="24"/>
        </w:rPr>
        <w:t>delete the table.</w:t>
      </w:r>
    </w:p>
    <w:p w:rsidR="00D80443" w:rsidRDefault="00D80443" w:rsidP="009A6A7D">
      <w:pPr>
        <w:keepNext/>
        <w:keepLines/>
        <w:jc w:val="both"/>
        <w:rPr>
          <w:szCs w:val="24"/>
        </w:rPr>
      </w:pPr>
    </w:p>
    <w:p w:rsidR="00D80443" w:rsidRDefault="00D80443" w:rsidP="00D80443">
      <w:pPr>
        <w:jc w:val="both"/>
        <w:rPr>
          <w:szCs w:val="24"/>
        </w:rPr>
      </w:pPr>
      <w:r w:rsidRPr="00D80443">
        <w:rPr>
          <w:b/>
          <w:szCs w:val="24"/>
        </w:rPr>
        <w:t>Page 6-42, Article 650-5, CONSTRUCTION METHODS</w:t>
      </w:r>
      <w:r>
        <w:rPr>
          <w:b/>
          <w:szCs w:val="24"/>
        </w:rPr>
        <w:t xml:space="preserve">, lines 20-24, </w:t>
      </w:r>
      <w:r>
        <w:rPr>
          <w:szCs w:val="24"/>
        </w:rPr>
        <w:t>replace the second paragraph with the following:</w:t>
      </w:r>
    </w:p>
    <w:p w:rsidR="00D80443" w:rsidRDefault="00D80443" w:rsidP="00D80443">
      <w:pPr>
        <w:jc w:val="both"/>
        <w:rPr>
          <w:szCs w:val="24"/>
        </w:rPr>
      </w:pPr>
    </w:p>
    <w:p w:rsidR="00D80443" w:rsidRDefault="00D80443" w:rsidP="00D80443">
      <w:pPr>
        <w:jc w:val="both"/>
        <w:rPr>
          <w:szCs w:val="24"/>
        </w:rPr>
      </w:pPr>
      <w:r>
        <w:rPr>
          <w:szCs w:val="24"/>
        </w:rPr>
        <w:t>Do not place OGFC between October 31 and April 1 of the next year, unless otherwise approved.  The minimum air and road surface temperature for placing Type FC-1 Modified mix will be 60</w:t>
      </w:r>
      <w:r w:rsidRPr="00FB38B9">
        <w:t>°F</w:t>
      </w:r>
      <w:r>
        <w:t>.</w:t>
      </w:r>
    </w:p>
    <w:p w:rsidR="00D80443" w:rsidRDefault="00D80443" w:rsidP="009A6A7D">
      <w:pPr>
        <w:keepNext/>
        <w:keepLines/>
        <w:jc w:val="both"/>
        <w:rPr>
          <w:b/>
          <w:szCs w:val="24"/>
        </w:rPr>
      </w:pPr>
    </w:p>
    <w:p w:rsidR="006302BE" w:rsidRDefault="00D80443" w:rsidP="009A6A7D">
      <w:pPr>
        <w:keepNext/>
        <w:keepLines/>
        <w:jc w:val="both"/>
        <w:rPr>
          <w:szCs w:val="24"/>
        </w:rPr>
      </w:pPr>
      <w:r w:rsidRPr="00D80443">
        <w:rPr>
          <w:b/>
          <w:szCs w:val="24"/>
        </w:rPr>
        <w:t>Page 6-42, Article 650-5, CONSTRUCTION METHODS</w:t>
      </w:r>
      <w:r>
        <w:rPr>
          <w:b/>
          <w:szCs w:val="24"/>
        </w:rPr>
        <w:t xml:space="preserve">, line 27, </w:t>
      </w:r>
      <w:r>
        <w:rPr>
          <w:szCs w:val="24"/>
        </w:rPr>
        <w:t xml:space="preserve">delete </w:t>
      </w:r>
      <w:r w:rsidR="0063092E">
        <w:rPr>
          <w:szCs w:val="24"/>
        </w:rPr>
        <w:t>the fourth paragraph.</w:t>
      </w:r>
    </w:p>
    <w:p w:rsidR="006302BE" w:rsidRDefault="006302BE" w:rsidP="009A6A7D">
      <w:pPr>
        <w:keepNext/>
        <w:keepLines/>
        <w:jc w:val="both"/>
        <w:rPr>
          <w:szCs w:val="24"/>
        </w:rPr>
      </w:pPr>
    </w:p>
    <w:p w:rsidR="00D80443" w:rsidRDefault="0063092E" w:rsidP="009A6A7D">
      <w:pPr>
        <w:keepNext/>
        <w:keepLines/>
        <w:jc w:val="both"/>
        <w:rPr>
          <w:szCs w:val="24"/>
        </w:rPr>
      </w:pPr>
      <w:r w:rsidRPr="0063092E">
        <w:rPr>
          <w:b/>
          <w:szCs w:val="24"/>
        </w:rPr>
        <w:t>Page 6-43, Article 650-5, CONSTRUCTION METHODS, lines 11-13</w:t>
      </w:r>
      <w:r>
        <w:rPr>
          <w:szCs w:val="24"/>
        </w:rPr>
        <w:t>, delete the twelfth paragraph.</w:t>
      </w:r>
    </w:p>
    <w:p w:rsidR="00FE37BF" w:rsidRDefault="00FE37BF" w:rsidP="009A6A7D">
      <w:pPr>
        <w:keepNext/>
        <w:keepLines/>
        <w:jc w:val="both"/>
        <w:rPr>
          <w:szCs w:val="24"/>
        </w:rPr>
      </w:pPr>
    </w:p>
    <w:p w:rsidR="00FE37BF" w:rsidRDefault="00FE37BF" w:rsidP="009A6A7D">
      <w:pPr>
        <w:keepNext/>
        <w:keepLines/>
        <w:jc w:val="both"/>
        <w:rPr>
          <w:szCs w:val="24"/>
        </w:rPr>
      </w:pPr>
      <w:r w:rsidRPr="00FE37BF">
        <w:rPr>
          <w:b/>
          <w:szCs w:val="24"/>
        </w:rPr>
        <w:t>Page 6-43, Article 650-6, QUALITY MANAGEMENT SYSTEM</w:t>
      </w:r>
      <w:r>
        <w:rPr>
          <w:szCs w:val="24"/>
        </w:rPr>
        <w:t>, line 21, replace with the following:</w:t>
      </w:r>
    </w:p>
    <w:p w:rsidR="00FE37BF" w:rsidRPr="00FE37BF" w:rsidRDefault="00FE37BF" w:rsidP="00FE37BF">
      <w:pPr>
        <w:spacing w:before="120" w:after="120"/>
        <w:jc w:val="both"/>
        <w:rPr>
          <w:szCs w:val="24"/>
        </w:rPr>
      </w:pPr>
      <w:r w:rsidRPr="00FE37BF">
        <w:rPr>
          <w:szCs w:val="24"/>
        </w:rPr>
        <w:t>Produce the OGFC in accordance with Section 609, with the following exceptions.</w:t>
      </w:r>
    </w:p>
    <w:p w:rsidR="00FE37BF" w:rsidRPr="00FE37BF" w:rsidRDefault="00FE37BF" w:rsidP="00FE37BF">
      <w:pPr>
        <w:widowControl w:val="0"/>
        <w:jc w:val="both"/>
        <w:rPr>
          <w:szCs w:val="24"/>
        </w:rPr>
      </w:pPr>
      <w:r w:rsidRPr="00FE37BF">
        <w:rPr>
          <w:color w:val="000000"/>
          <w:szCs w:val="24"/>
        </w:rPr>
        <w:t>Sample and test the completed mixture from each mix design per plant per year</w:t>
      </w:r>
      <w:r w:rsidRPr="00FE37BF">
        <w:rPr>
          <w:szCs w:val="24"/>
        </w:rPr>
        <w:t xml:space="preserve"> at the following minimum frequency during mix production:</w:t>
      </w:r>
    </w:p>
    <w:p w:rsidR="00FE37BF" w:rsidRPr="00FE37BF" w:rsidRDefault="00FE37BF" w:rsidP="00FE37BF">
      <w:pPr>
        <w:widowControl w:val="0"/>
        <w:suppressLineNumbers/>
        <w:jc w:val="both"/>
        <w:rPr>
          <w:szCs w:val="24"/>
        </w:rPr>
      </w:pPr>
    </w:p>
    <w:tbl>
      <w:tblPr>
        <w:tblW w:w="7380" w:type="dxa"/>
        <w:jc w:val="center"/>
        <w:tblLayout w:type="fixed"/>
        <w:tblLook w:val="04A0" w:firstRow="1" w:lastRow="0" w:firstColumn="1" w:lastColumn="0" w:noHBand="0" w:noVBand="1"/>
      </w:tblPr>
      <w:tblGrid>
        <w:gridCol w:w="3780"/>
        <w:gridCol w:w="3600"/>
      </w:tblGrid>
      <w:tr w:rsidR="00FE37BF" w:rsidRPr="00FE37BF" w:rsidTr="003445B0">
        <w:trPr>
          <w:jc w:val="center"/>
        </w:trPr>
        <w:tc>
          <w:tcPr>
            <w:tcW w:w="3780" w:type="dxa"/>
            <w:hideMark/>
          </w:tcPr>
          <w:p w:rsidR="00FE37BF" w:rsidRPr="00FE37BF" w:rsidRDefault="00FE37BF" w:rsidP="00FE37BF">
            <w:pPr>
              <w:widowControl w:val="0"/>
              <w:spacing w:line="276" w:lineRule="auto"/>
              <w:rPr>
                <w:color w:val="000000"/>
                <w:szCs w:val="24"/>
              </w:rPr>
            </w:pPr>
            <w:r w:rsidRPr="00FE37BF">
              <w:rPr>
                <w:color w:val="000000"/>
                <w:szCs w:val="24"/>
                <w:u w:val="single"/>
              </w:rPr>
              <w:t>Accumulative Production Increment</w:t>
            </w:r>
          </w:p>
        </w:tc>
        <w:tc>
          <w:tcPr>
            <w:tcW w:w="3600" w:type="dxa"/>
            <w:hideMark/>
          </w:tcPr>
          <w:p w:rsidR="00FE37BF" w:rsidRPr="00FE37BF" w:rsidRDefault="00FE37BF" w:rsidP="00FE37BF">
            <w:pPr>
              <w:widowControl w:val="0"/>
              <w:spacing w:line="276" w:lineRule="auto"/>
              <w:rPr>
                <w:color w:val="000000"/>
                <w:szCs w:val="24"/>
              </w:rPr>
            </w:pPr>
            <w:r w:rsidRPr="00FE37BF">
              <w:rPr>
                <w:color w:val="000000"/>
                <w:szCs w:val="24"/>
                <w:u w:val="single"/>
              </w:rPr>
              <w:t>Number of Samples per Increment</w:t>
            </w:r>
          </w:p>
        </w:tc>
      </w:tr>
      <w:tr w:rsidR="00FE37BF" w:rsidRPr="00FE37BF" w:rsidTr="003445B0">
        <w:trPr>
          <w:jc w:val="center"/>
        </w:trPr>
        <w:tc>
          <w:tcPr>
            <w:tcW w:w="3780" w:type="dxa"/>
            <w:hideMark/>
          </w:tcPr>
          <w:p w:rsidR="00FE37BF" w:rsidRPr="00FE37BF" w:rsidRDefault="00FE37BF" w:rsidP="00FE37BF">
            <w:pPr>
              <w:widowControl w:val="0"/>
              <w:spacing w:line="276" w:lineRule="auto"/>
              <w:jc w:val="center"/>
              <w:rPr>
                <w:color w:val="000000"/>
                <w:szCs w:val="24"/>
              </w:rPr>
            </w:pPr>
            <w:r w:rsidRPr="00FE37BF">
              <w:rPr>
                <w:color w:val="000000"/>
                <w:szCs w:val="24"/>
              </w:rPr>
              <w:t>500 tons</w:t>
            </w:r>
          </w:p>
        </w:tc>
        <w:tc>
          <w:tcPr>
            <w:tcW w:w="3600" w:type="dxa"/>
            <w:hideMark/>
          </w:tcPr>
          <w:p w:rsidR="00FE37BF" w:rsidRPr="00FE37BF" w:rsidRDefault="00FE37BF" w:rsidP="00FE37BF">
            <w:pPr>
              <w:widowControl w:val="0"/>
              <w:spacing w:line="276" w:lineRule="auto"/>
              <w:jc w:val="center"/>
              <w:rPr>
                <w:color w:val="000000"/>
                <w:szCs w:val="24"/>
              </w:rPr>
            </w:pPr>
            <w:r w:rsidRPr="00FE37BF">
              <w:rPr>
                <w:color w:val="000000"/>
                <w:szCs w:val="24"/>
              </w:rPr>
              <w:t>1</w:t>
            </w:r>
          </w:p>
        </w:tc>
      </w:tr>
    </w:tbl>
    <w:p w:rsidR="00FE37BF" w:rsidRPr="00FE37BF" w:rsidRDefault="00FE37BF" w:rsidP="00FE37BF">
      <w:pPr>
        <w:keepNext/>
        <w:keepLines/>
        <w:jc w:val="both"/>
        <w:rPr>
          <w:color w:val="000000"/>
          <w:szCs w:val="24"/>
        </w:rPr>
      </w:pPr>
      <w:r w:rsidRPr="00FE37BF">
        <w:rPr>
          <w:color w:val="000000"/>
          <w:szCs w:val="24"/>
        </w:rPr>
        <w:lastRenderedPageBreak/>
        <w:t xml:space="preserve">Record the following data on the standardized control charts and in accordance with the requirements of Section 7.4 of the </w:t>
      </w:r>
      <w:r w:rsidRPr="00FE37BF">
        <w:rPr>
          <w:i/>
          <w:color w:val="000000"/>
          <w:szCs w:val="24"/>
        </w:rPr>
        <w:t>Asphalt QMS Manual</w:t>
      </w:r>
      <w:r w:rsidRPr="00FE37BF">
        <w:rPr>
          <w:color w:val="000000"/>
          <w:szCs w:val="24"/>
        </w:rPr>
        <w:t>:</w:t>
      </w:r>
    </w:p>
    <w:p w:rsidR="00FE37BF" w:rsidRPr="00FE37BF" w:rsidRDefault="00FE37BF" w:rsidP="00FE37BF">
      <w:pPr>
        <w:keepNext/>
        <w:keepLines/>
        <w:tabs>
          <w:tab w:val="left" w:pos="1800"/>
        </w:tabs>
        <w:spacing w:before="120"/>
        <w:ind w:left="1440"/>
        <w:jc w:val="both"/>
        <w:rPr>
          <w:color w:val="000000"/>
          <w:szCs w:val="24"/>
        </w:rPr>
      </w:pPr>
      <w:r w:rsidRPr="00FE37BF">
        <w:rPr>
          <w:color w:val="000000"/>
          <w:szCs w:val="24"/>
        </w:rPr>
        <w:t>(a)</w:t>
      </w:r>
      <w:r w:rsidRPr="00FE37BF">
        <w:rPr>
          <w:color w:val="000000"/>
          <w:szCs w:val="24"/>
        </w:rPr>
        <w:tab/>
        <w:t>Aggregate Gradation Test Results:</w:t>
      </w:r>
    </w:p>
    <w:p w:rsidR="00FE37BF" w:rsidRPr="00FE37BF" w:rsidRDefault="00FE37BF" w:rsidP="00FE37BF">
      <w:pPr>
        <w:keepNext/>
        <w:keepLines/>
        <w:ind w:left="2160" w:hanging="360"/>
        <w:jc w:val="both"/>
        <w:rPr>
          <w:color w:val="000000"/>
          <w:szCs w:val="24"/>
        </w:rPr>
      </w:pPr>
      <w:r w:rsidRPr="00FE37BF">
        <w:rPr>
          <w:color w:val="000000"/>
          <w:szCs w:val="24"/>
        </w:rPr>
        <w:t>1.</w:t>
      </w:r>
      <w:r w:rsidRPr="00FE37BF">
        <w:rPr>
          <w:color w:val="000000"/>
          <w:szCs w:val="24"/>
        </w:rPr>
        <w:tab/>
        <w:t xml:space="preserve">2.36 mm </w:t>
      </w:r>
    </w:p>
    <w:p w:rsidR="00FE37BF" w:rsidRPr="00FE37BF" w:rsidRDefault="00FE37BF" w:rsidP="00FE37BF">
      <w:pPr>
        <w:keepNext/>
        <w:keepLines/>
        <w:spacing w:after="120"/>
        <w:ind w:left="2160" w:hanging="360"/>
        <w:jc w:val="both"/>
        <w:rPr>
          <w:color w:val="000000"/>
          <w:szCs w:val="24"/>
        </w:rPr>
      </w:pPr>
      <w:r w:rsidRPr="00FE37BF">
        <w:rPr>
          <w:color w:val="000000"/>
          <w:szCs w:val="24"/>
        </w:rPr>
        <w:t>2.</w:t>
      </w:r>
      <w:r w:rsidRPr="00FE37BF">
        <w:rPr>
          <w:color w:val="000000"/>
          <w:szCs w:val="24"/>
        </w:rPr>
        <w:tab/>
        <w:t>0.075 mm Sieves</w:t>
      </w:r>
    </w:p>
    <w:p w:rsidR="00FE37BF" w:rsidRPr="00FE37BF" w:rsidRDefault="00FE37BF" w:rsidP="00FE37BF">
      <w:pPr>
        <w:keepNext/>
        <w:keepLines/>
        <w:tabs>
          <w:tab w:val="left" w:pos="1800"/>
        </w:tabs>
        <w:spacing w:before="120" w:after="120"/>
        <w:ind w:left="1440"/>
        <w:jc w:val="both"/>
        <w:rPr>
          <w:color w:val="000000"/>
          <w:szCs w:val="24"/>
        </w:rPr>
      </w:pPr>
      <w:r w:rsidRPr="00FE37BF">
        <w:rPr>
          <w:color w:val="000000"/>
          <w:szCs w:val="24"/>
        </w:rPr>
        <w:t>(b)</w:t>
      </w:r>
      <w:r w:rsidRPr="00FE37BF">
        <w:rPr>
          <w:color w:val="000000"/>
          <w:szCs w:val="24"/>
        </w:rPr>
        <w:tab/>
        <w:t xml:space="preserve">Binder Content, %, </w:t>
      </w:r>
      <w:proofErr w:type="spellStart"/>
      <w:r w:rsidRPr="00FE37BF">
        <w:rPr>
          <w:color w:val="000000"/>
          <w:szCs w:val="24"/>
        </w:rPr>
        <w:t>P</w:t>
      </w:r>
      <w:r w:rsidRPr="00FE37BF">
        <w:rPr>
          <w:color w:val="000000"/>
          <w:szCs w:val="24"/>
          <w:vertAlign w:val="subscript"/>
        </w:rPr>
        <w:t>b</w:t>
      </w:r>
      <w:proofErr w:type="spellEnd"/>
    </w:p>
    <w:p w:rsidR="00FE37BF" w:rsidRDefault="00FE37BF" w:rsidP="00FE37BF">
      <w:pPr>
        <w:widowControl w:val="0"/>
        <w:jc w:val="both"/>
        <w:rPr>
          <w:szCs w:val="24"/>
        </w:rPr>
      </w:pPr>
      <w:r>
        <w:rPr>
          <w:szCs w:val="24"/>
        </w:rPr>
        <w:t xml:space="preserve"> </w:t>
      </w:r>
    </w:p>
    <w:p w:rsidR="00D3408C" w:rsidRDefault="00D3408C" w:rsidP="00FE37BF">
      <w:pPr>
        <w:widowControl w:val="0"/>
        <w:jc w:val="both"/>
        <w:rPr>
          <w:szCs w:val="24"/>
        </w:rPr>
      </w:pPr>
      <w:r w:rsidRPr="00FE37BF">
        <w:rPr>
          <w:b/>
          <w:szCs w:val="24"/>
        </w:rPr>
        <w:t>Page 6-43, Article 650-6,</w:t>
      </w:r>
      <w:r>
        <w:rPr>
          <w:b/>
          <w:szCs w:val="24"/>
        </w:rPr>
        <w:t xml:space="preserve"> MEASUREMENT AND PAYMENT, </w:t>
      </w:r>
      <w:r w:rsidR="009B30C4">
        <w:rPr>
          <w:szCs w:val="24"/>
        </w:rPr>
        <w:t>lines 23-26, replace the first paragraph with the following:</w:t>
      </w:r>
    </w:p>
    <w:p w:rsidR="009B30C4" w:rsidRDefault="009B30C4" w:rsidP="00FE37BF">
      <w:pPr>
        <w:widowControl w:val="0"/>
        <w:jc w:val="both"/>
        <w:rPr>
          <w:szCs w:val="24"/>
        </w:rPr>
      </w:pPr>
    </w:p>
    <w:p w:rsidR="009B30C4" w:rsidRDefault="009B30C4" w:rsidP="009B30C4">
      <w:r w:rsidRPr="00FB38B9">
        <w:rPr>
          <w:i/>
        </w:rPr>
        <w:t>Open-Graded Asphalt Friction Course, Type FC-1 Modified</w:t>
      </w:r>
      <w:r w:rsidRPr="00FB38B9">
        <w:t xml:space="preserve"> will be measured and paid as the actual number of tons of friction course incorporated into the completed and accepted work.  The friction course will be measured by being weighed in trucks on certified platform scales or other certified weighing devices.</w:t>
      </w:r>
    </w:p>
    <w:p w:rsidR="009B30C4" w:rsidRDefault="009B30C4" w:rsidP="009B30C4"/>
    <w:p w:rsidR="009B30C4" w:rsidRDefault="005F38C5" w:rsidP="009B30C4">
      <w:pPr>
        <w:rPr>
          <w:szCs w:val="24"/>
        </w:rPr>
      </w:pPr>
      <w:r w:rsidRPr="00FE37BF">
        <w:rPr>
          <w:b/>
          <w:szCs w:val="24"/>
        </w:rPr>
        <w:t>Page 6-43, Article 650-6,</w:t>
      </w:r>
      <w:r>
        <w:rPr>
          <w:b/>
          <w:szCs w:val="24"/>
        </w:rPr>
        <w:t xml:space="preserve"> MEASUREMENT AND PAYMENT, </w:t>
      </w:r>
      <w:r>
        <w:rPr>
          <w:szCs w:val="24"/>
        </w:rPr>
        <w:t>line 33, replace with the following:</w:t>
      </w:r>
    </w:p>
    <w:p w:rsidR="005F38C5" w:rsidRDefault="005F38C5" w:rsidP="009B30C4">
      <w:pPr>
        <w:rPr>
          <w:szCs w:val="24"/>
        </w:rPr>
      </w:pPr>
    </w:p>
    <w:p w:rsidR="005F38C5" w:rsidRPr="005F38C5" w:rsidRDefault="005F38C5" w:rsidP="009B30C4">
      <w:pPr>
        <w:rPr>
          <w:szCs w:val="24"/>
        </w:rPr>
      </w:pPr>
      <w:r>
        <w:rPr>
          <w:szCs w:val="24"/>
        </w:rPr>
        <w:t xml:space="preserve">Payment will be made under: </w:t>
      </w:r>
    </w:p>
    <w:p w:rsidR="005F38C5" w:rsidRDefault="005F38C5" w:rsidP="009B30C4">
      <w:pPr>
        <w:rPr>
          <w:b/>
          <w:szCs w:val="24"/>
        </w:rPr>
      </w:pPr>
    </w:p>
    <w:p w:rsidR="005F38C5" w:rsidRPr="005F38C5" w:rsidRDefault="005F38C5" w:rsidP="009B30C4">
      <w:pPr>
        <w:rPr>
          <w:b/>
        </w:rPr>
      </w:pPr>
      <w:r w:rsidRPr="005F38C5">
        <w:rPr>
          <w:b/>
          <w:szCs w:val="24"/>
        </w:rPr>
        <w:t>Pay Item</w:t>
      </w:r>
      <w:r w:rsidRPr="005F38C5">
        <w:rPr>
          <w:b/>
          <w:szCs w:val="24"/>
        </w:rPr>
        <w:tab/>
      </w:r>
      <w:r w:rsidRPr="005F38C5">
        <w:rPr>
          <w:b/>
          <w:szCs w:val="24"/>
        </w:rPr>
        <w:tab/>
      </w:r>
      <w:r w:rsidRPr="005F38C5">
        <w:rPr>
          <w:b/>
          <w:szCs w:val="24"/>
        </w:rPr>
        <w:tab/>
      </w:r>
      <w:r w:rsidRPr="005F38C5">
        <w:rPr>
          <w:b/>
          <w:szCs w:val="24"/>
        </w:rPr>
        <w:tab/>
      </w:r>
      <w:r w:rsidRPr="005F38C5">
        <w:rPr>
          <w:b/>
          <w:szCs w:val="24"/>
        </w:rPr>
        <w:tab/>
      </w:r>
      <w:r>
        <w:rPr>
          <w:b/>
          <w:szCs w:val="24"/>
        </w:rPr>
        <w:tab/>
      </w:r>
      <w:r>
        <w:rPr>
          <w:b/>
          <w:szCs w:val="24"/>
        </w:rPr>
        <w:tab/>
      </w:r>
      <w:r>
        <w:rPr>
          <w:b/>
          <w:szCs w:val="24"/>
        </w:rPr>
        <w:tab/>
      </w:r>
      <w:r>
        <w:rPr>
          <w:b/>
          <w:szCs w:val="24"/>
        </w:rPr>
        <w:tab/>
      </w:r>
      <w:r w:rsidRPr="005F38C5">
        <w:rPr>
          <w:b/>
          <w:szCs w:val="24"/>
        </w:rPr>
        <w:t>Pay Unit</w:t>
      </w:r>
    </w:p>
    <w:p w:rsidR="009B30C4" w:rsidRPr="009B30C4" w:rsidRDefault="005F38C5" w:rsidP="00FE37BF">
      <w:pPr>
        <w:widowControl w:val="0"/>
        <w:jc w:val="both"/>
        <w:rPr>
          <w:szCs w:val="24"/>
        </w:rPr>
      </w:pPr>
      <w:r>
        <w:rPr>
          <w:szCs w:val="24"/>
        </w:rPr>
        <w:t>Open-Graded Asphalt Friction Course, Type FC-1 Modified</w:t>
      </w:r>
      <w:r>
        <w:rPr>
          <w:szCs w:val="24"/>
        </w:rPr>
        <w:tab/>
      </w:r>
      <w:r>
        <w:rPr>
          <w:szCs w:val="24"/>
        </w:rPr>
        <w:tab/>
        <w:t>Ton</w:t>
      </w:r>
    </w:p>
    <w:sectPr w:rsidR="009B30C4" w:rsidRPr="009B30C4">
      <w:head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3FC" w:rsidRDefault="001D03FC">
      <w:r>
        <w:separator/>
      </w:r>
    </w:p>
  </w:endnote>
  <w:endnote w:type="continuationSeparator" w:id="0">
    <w:p w:rsidR="001D03FC" w:rsidRDefault="001D0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3FC" w:rsidRDefault="001D03FC">
      <w:r>
        <w:separator/>
      </w:r>
    </w:p>
  </w:footnote>
  <w:footnote w:type="continuationSeparator" w:id="0">
    <w:p w:rsidR="001D03FC" w:rsidRDefault="001D0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3245" w:rsidRPr="00AF68C4" w:rsidRDefault="003B3245">
    <w:pPr>
      <w:tabs>
        <w:tab w:val="right" w:pos="9360"/>
      </w:tabs>
      <w:rPr>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6F0EBE"/>
    <w:multiLevelType w:val="singleLevel"/>
    <w:tmpl w:val="3D5E8DC2"/>
    <w:lvl w:ilvl="0">
      <w:start w:val="1"/>
      <w:numFmt w:val="decimal"/>
      <w:lvlText w:val="%1."/>
      <w:lvlJc w:val="left"/>
      <w:pPr>
        <w:tabs>
          <w:tab w:val="num" w:pos="360"/>
        </w:tabs>
        <w:ind w:left="360" w:hanging="360"/>
      </w:pPr>
    </w:lvl>
  </w:abstractNum>
  <w:abstractNum w:abstractNumId="1" w15:restartNumberingAfterBreak="0">
    <w:nsid w:val="6E737E4E"/>
    <w:multiLevelType w:val="hybridMultilevel"/>
    <w:tmpl w:val="2706877E"/>
    <w:lvl w:ilvl="0" w:tplc="6B00377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E65"/>
    <w:rsid w:val="00050BF0"/>
    <w:rsid w:val="000922FE"/>
    <w:rsid w:val="000C19C3"/>
    <w:rsid w:val="000D6E26"/>
    <w:rsid w:val="000E771C"/>
    <w:rsid w:val="000F3407"/>
    <w:rsid w:val="00151057"/>
    <w:rsid w:val="00153691"/>
    <w:rsid w:val="0017336F"/>
    <w:rsid w:val="001D03FC"/>
    <w:rsid w:val="001F4734"/>
    <w:rsid w:val="002007B9"/>
    <w:rsid w:val="002026B5"/>
    <w:rsid w:val="00221E70"/>
    <w:rsid w:val="00234B3B"/>
    <w:rsid w:val="00267348"/>
    <w:rsid w:val="002A7E47"/>
    <w:rsid w:val="002B124D"/>
    <w:rsid w:val="002B2242"/>
    <w:rsid w:val="002D6B3C"/>
    <w:rsid w:val="002E1241"/>
    <w:rsid w:val="00300473"/>
    <w:rsid w:val="00302790"/>
    <w:rsid w:val="00310AE3"/>
    <w:rsid w:val="003164D7"/>
    <w:rsid w:val="003444E6"/>
    <w:rsid w:val="00381EB9"/>
    <w:rsid w:val="003A1503"/>
    <w:rsid w:val="003B3245"/>
    <w:rsid w:val="003F2A56"/>
    <w:rsid w:val="00403B90"/>
    <w:rsid w:val="00410832"/>
    <w:rsid w:val="00457B45"/>
    <w:rsid w:val="00463C2F"/>
    <w:rsid w:val="0047478F"/>
    <w:rsid w:val="004772FD"/>
    <w:rsid w:val="00483823"/>
    <w:rsid w:val="004B2889"/>
    <w:rsid w:val="004C1995"/>
    <w:rsid w:val="004D3333"/>
    <w:rsid w:val="004E2976"/>
    <w:rsid w:val="004E5411"/>
    <w:rsid w:val="004F1661"/>
    <w:rsid w:val="0054253A"/>
    <w:rsid w:val="005532C7"/>
    <w:rsid w:val="005610F8"/>
    <w:rsid w:val="00572080"/>
    <w:rsid w:val="005B6318"/>
    <w:rsid w:val="005E56AF"/>
    <w:rsid w:val="005F38C5"/>
    <w:rsid w:val="006302BE"/>
    <w:rsid w:val="0063092E"/>
    <w:rsid w:val="00645323"/>
    <w:rsid w:val="00651474"/>
    <w:rsid w:val="006643FE"/>
    <w:rsid w:val="00676373"/>
    <w:rsid w:val="0068422D"/>
    <w:rsid w:val="006917BD"/>
    <w:rsid w:val="00694D3B"/>
    <w:rsid w:val="006B2F03"/>
    <w:rsid w:val="006D2CA5"/>
    <w:rsid w:val="007203B2"/>
    <w:rsid w:val="00725205"/>
    <w:rsid w:val="007329E1"/>
    <w:rsid w:val="007401FC"/>
    <w:rsid w:val="007449D0"/>
    <w:rsid w:val="007855B2"/>
    <w:rsid w:val="00785F28"/>
    <w:rsid w:val="00786873"/>
    <w:rsid w:val="0079360B"/>
    <w:rsid w:val="007A701A"/>
    <w:rsid w:val="007B17AF"/>
    <w:rsid w:val="007C405E"/>
    <w:rsid w:val="007D38E3"/>
    <w:rsid w:val="008107F5"/>
    <w:rsid w:val="008255E8"/>
    <w:rsid w:val="008407FA"/>
    <w:rsid w:val="00844106"/>
    <w:rsid w:val="00855E65"/>
    <w:rsid w:val="008562A0"/>
    <w:rsid w:val="00866B5C"/>
    <w:rsid w:val="0089280D"/>
    <w:rsid w:val="008979FF"/>
    <w:rsid w:val="008A18D2"/>
    <w:rsid w:val="00906971"/>
    <w:rsid w:val="00920A5A"/>
    <w:rsid w:val="00921EAB"/>
    <w:rsid w:val="00983E9B"/>
    <w:rsid w:val="00984CC5"/>
    <w:rsid w:val="0098716C"/>
    <w:rsid w:val="009A6A7D"/>
    <w:rsid w:val="009B30C4"/>
    <w:rsid w:val="00A01B0F"/>
    <w:rsid w:val="00A01E45"/>
    <w:rsid w:val="00A17249"/>
    <w:rsid w:val="00A2147E"/>
    <w:rsid w:val="00A37916"/>
    <w:rsid w:val="00A72665"/>
    <w:rsid w:val="00A74192"/>
    <w:rsid w:val="00AC6F15"/>
    <w:rsid w:val="00AE0ED4"/>
    <w:rsid w:val="00AF68C4"/>
    <w:rsid w:val="00B07D80"/>
    <w:rsid w:val="00B50727"/>
    <w:rsid w:val="00B96454"/>
    <w:rsid w:val="00B974CE"/>
    <w:rsid w:val="00BD6E2C"/>
    <w:rsid w:val="00BF0E24"/>
    <w:rsid w:val="00C13A91"/>
    <w:rsid w:val="00C34422"/>
    <w:rsid w:val="00C714D5"/>
    <w:rsid w:val="00C856BA"/>
    <w:rsid w:val="00C9654B"/>
    <w:rsid w:val="00CB4126"/>
    <w:rsid w:val="00CE3C99"/>
    <w:rsid w:val="00CF72CE"/>
    <w:rsid w:val="00D05D22"/>
    <w:rsid w:val="00D14AAC"/>
    <w:rsid w:val="00D15F25"/>
    <w:rsid w:val="00D25E99"/>
    <w:rsid w:val="00D3408C"/>
    <w:rsid w:val="00D601D5"/>
    <w:rsid w:val="00D71E58"/>
    <w:rsid w:val="00D80443"/>
    <w:rsid w:val="00DB6D44"/>
    <w:rsid w:val="00E25368"/>
    <w:rsid w:val="00E67909"/>
    <w:rsid w:val="00E81B11"/>
    <w:rsid w:val="00E86EE2"/>
    <w:rsid w:val="00EC00E6"/>
    <w:rsid w:val="00EE625F"/>
    <w:rsid w:val="00EF5ADD"/>
    <w:rsid w:val="00FA1F69"/>
    <w:rsid w:val="00FA4337"/>
    <w:rsid w:val="00FB7098"/>
    <w:rsid w:val="00FC76B4"/>
    <w:rsid w:val="00FE3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F207409-9A80-431F-90DB-58C71A517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link w:val="Heading1Char"/>
    <w:qFormat/>
    <w:rsid w:val="000D6E26"/>
    <w:pPr>
      <w:keepNext/>
      <w:keepLines/>
      <w:spacing w:before="480"/>
      <w:jc w:val="center"/>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EC00E6"/>
    <w:pPr>
      <w:keepNext/>
      <w:keepLines/>
      <w:jc w:val="both"/>
      <w:outlineLvl w:val="1"/>
    </w:pPr>
    <w:rPr>
      <w:rFonts w:eastAsiaTheme="majorEastAsia" w:cstheme="majorBidi"/>
      <w:b/>
      <w:bCs/>
      <w:color w:val="000000" w:themeColor="text1"/>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single"/>
    </w:rPr>
  </w:style>
  <w:style w:type="paragraph" w:styleId="Subtitle">
    <w:name w:val="Subtitle"/>
    <w:basedOn w:val="Normal"/>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customStyle="1" w:styleId="Heading1Char">
    <w:name w:val="Heading 1 Char"/>
    <w:basedOn w:val="DefaultParagraphFont"/>
    <w:link w:val="Heading1"/>
    <w:rsid w:val="000D6E26"/>
    <w:rPr>
      <w:rFonts w:eastAsiaTheme="majorEastAsia" w:cstheme="majorBidi"/>
      <w:b/>
      <w:bCs/>
      <w:color w:val="000000" w:themeColor="text1"/>
      <w:sz w:val="28"/>
      <w:szCs w:val="28"/>
    </w:rPr>
  </w:style>
  <w:style w:type="character" w:customStyle="1" w:styleId="Heading2Char">
    <w:name w:val="Heading 2 Char"/>
    <w:basedOn w:val="DefaultParagraphFont"/>
    <w:link w:val="Heading2"/>
    <w:rsid w:val="00EC00E6"/>
    <w:rPr>
      <w:rFonts w:eastAsiaTheme="majorEastAsia" w:cstheme="majorBidi"/>
      <w:b/>
      <w:bCs/>
      <w:color w:val="000000" w:themeColor="text1"/>
      <w:sz w:val="24"/>
      <w:szCs w:val="26"/>
      <w:u w:val="single"/>
    </w:rPr>
  </w:style>
  <w:style w:type="character" w:styleId="Strong">
    <w:name w:val="Strong"/>
    <w:basedOn w:val="DefaultParagraphFont"/>
    <w:qFormat/>
    <w:rsid w:val="00457B45"/>
    <w:rPr>
      <w:b/>
      <w:bCs/>
    </w:rPr>
  </w:style>
  <w:style w:type="paragraph" w:customStyle="1" w:styleId="Header2">
    <w:name w:val="Header 2"/>
    <w:basedOn w:val="NoSpacing"/>
    <w:rsid w:val="00457B45"/>
    <w:rPr>
      <w:b/>
      <w:color w:val="000000"/>
      <w:u w:val="single"/>
    </w:rPr>
  </w:style>
  <w:style w:type="paragraph" w:styleId="NoSpacing">
    <w:name w:val="No Spacing"/>
    <w:uiPriority w:val="1"/>
    <w:qFormat/>
    <w:rsid w:val="00457B45"/>
    <w:rPr>
      <w:sz w:val="24"/>
    </w:rPr>
  </w:style>
  <w:style w:type="character" w:styleId="Hyperlink">
    <w:name w:val="Hyperlink"/>
    <w:basedOn w:val="DefaultParagraphFont"/>
    <w:rsid w:val="002B2242"/>
    <w:rPr>
      <w:color w:val="0000FF"/>
      <w:u w:val="single"/>
    </w:rPr>
  </w:style>
  <w:style w:type="paragraph" w:styleId="ListParagraph">
    <w:name w:val="List Paragraph"/>
    <w:basedOn w:val="Normal"/>
    <w:uiPriority w:val="34"/>
    <w:qFormat/>
    <w:rsid w:val="00D71E58"/>
    <w:pPr>
      <w:ind w:left="720"/>
      <w:contextualSpacing/>
    </w:pPr>
  </w:style>
  <w:style w:type="table" w:styleId="TableGrid">
    <w:name w:val="Table Grid"/>
    <w:basedOn w:val="TableNormal"/>
    <w:rsid w:val="00D15F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164D7"/>
    <w:rPr>
      <w:rFonts w:ascii="Tahoma" w:hAnsi="Tahoma" w:cs="Tahoma"/>
      <w:sz w:val="16"/>
      <w:szCs w:val="16"/>
    </w:rPr>
  </w:style>
  <w:style w:type="character" w:customStyle="1" w:styleId="BalloonTextChar">
    <w:name w:val="Balloon Text Char"/>
    <w:basedOn w:val="DefaultParagraphFont"/>
    <w:link w:val="BalloonText"/>
    <w:rsid w:val="00316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URL xmlns="http://schemas.microsoft.com/sharepoint/v3">
      <Url xsi:nil="true"/>
      <Description xsi:nil="true"/>
    </URL>
    <Provision_x0020_Number xmlns="0faa050a-f963-4313-b52d-1c968f8e943b">SP06 R065</Provision_x0020_Number>
    <Prov_x002e__x0020_No_x002e_ xmlns="0faa050a-f963-4313-b52d-1c968f8e943b">SP06R</Prov_x002e__x0020_No_x002e_>
    <Provision xmlns="0faa050a-f963-4313-b52d-1c968f8e943b">OPEN-GRADED ASPHALT FRICTION COURSE</Provision>
    <Effective_x0020_Let_x0020_Date xmlns="0faa050a-f963-4313-b52d-1c968f8e943b">2017-08</Effective_x0020_Let_x0020_Date>
    <_dlc_DocId xmlns="16f00c2e-ac5c-418b-9f13-a0771dbd417d">CONNECT-352-350</_dlc_DocId>
    <_dlc_DocIdUrl xmlns="16f00c2e-ac5c-418b-9f13-a0771dbd417d">
      <Url>https://connect.ncdot.gov/resources/Specifications/_layouts/15/DocIdRedir.aspx?ID=CONNECT-352-350</Url>
      <Description>CONNECT-352-350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haredContentType xmlns="Microsoft.SharePoint.Taxonomy.ContentTypeSync" SourceId="7ef604a7-ebc4-47af-96e9-7f1ad444f50a" ContentTypeId="0x0101" PreviousValue="false"/>
</file>

<file path=customXml/item5.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Props1.xml><?xml version="1.0" encoding="utf-8"?>
<ds:datastoreItem xmlns:ds="http://schemas.openxmlformats.org/officeDocument/2006/customXml" ds:itemID="{145ED3B2-E7B5-4CEA-BE2C-4D9ED3B02C21}"/>
</file>

<file path=customXml/itemProps2.xml><?xml version="1.0" encoding="utf-8"?>
<ds:datastoreItem xmlns:ds="http://schemas.openxmlformats.org/officeDocument/2006/customXml" ds:itemID="{BB284983-B4F2-4C5B-A265-FD27F43DC90C}"/>
</file>

<file path=customXml/itemProps3.xml><?xml version="1.0" encoding="utf-8"?>
<ds:datastoreItem xmlns:ds="http://schemas.openxmlformats.org/officeDocument/2006/customXml" ds:itemID="{CE7523E1-D3E4-4A18-A55A-E2294582D190}"/>
</file>

<file path=customXml/itemProps4.xml><?xml version="1.0" encoding="utf-8"?>
<ds:datastoreItem xmlns:ds="http://schemas.openxmlformats.org/officeDocument/2006/customXml" ds:itemID="{966B9C8A-6606-4B5B-91F2-ED1985766238}"/>
</file>

<file path=customXml/itemProps5.xml><?xml version="1.0" encoding="utf-8"?>
<ds:datastoreItem xmlns:ds="http://schemas.openxmlformats.org/officeDocument/2006/customXml" ds:itemID="{592651A5-90EA-4F82-9D16-AAD8CB09B0CC}"/>
</file>

<file path=customXml/itemProps6.xml><?xml version="1.0" encoding="utf-8"?>
<ds:datastoreItem xmlns:ds="http://schemas.openxmlformats.org/officeDocument/2006/customXml" ds:itemID="{5384FB7C-90CD-408D-9C54-98C8C426C59A}"/>
</file>

<file path=docProps/app.xml><?xml version="1.0" encoding="utf-8"?>
<Properties xmlns="http://schemas.openxmlformats.org/officeDocument/2006/extended-properties" xmlns:vt="http://schemas.openxmlformats.org/officeDocument/2006/docPropsVTypes">
  <Template>Normal</Template>
  <TotalTime>0</TotalTime>
  <Pages>3</Pages>
  <Words>634</Words>
  <Characters>3549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PROJECT SPECIAL PROVISIONS</vt:lpstr>
    </vt:vector>
  </TitlesOfParts>
  <Company>NCDOT</Company>
  <LinksUpToDate>false</LinksUpToDate>
  <CharactersWithSpaces>4175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SP06 R065</dc:title>
  <dc:creator>Natalie Roskam</dc:creator>
  <cp:lastModifiedBy>Canales, Theresa A</cp:lastModifiedBy>
  <cp:revision>2</cp:revision>
  <cp:lastPrinted>2014-07-09T16:58:00Z</cp:lastPrinted>
  <dcterms:created xsi:type="dcterms:W3CDTF">2017-06-15T16:06:00Z</dcterms:created>
  <dcterms:modified xsi:type="dcterms:W3CDTF">2017-06-15T16:06:00Z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556aae32-4853-4d42-bab8-0a98ad7669f1</vt:lpwstr>
  </property>
  <property fmtid="{D5CDD505-2E9C-101B-9397-08002B2CF9AE}" pid="4" name="Order">
    <vt:r8>35000</vt:r8>
  </property>
</Properties>
</file>